
<file path=[Content_Types].xml><?xml version="1.0" encoding="utf-8"?>
<Types xmlns="http://schemas.openxmlformats.org/package/2006/content-types">
  <Default Extension="xml" ContentType="application/xml"/>
  <Default Extension="jpeg" ContentType="image/jpeg"/>
  <Default Extension="JPG" ContentType="image/.jpg"/>
  <Default Extension="png" ContentType="image/png"/>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9E418C4">
      <w:pPr>
        <w:pStyle w:val="38"/>
        <w:spacing w:line="520" w:lineRule="exact"/>
        <w:jc w:val="center"/>
        <w:rPr>
          <w:b/>
          <w:bCs/>
          <w:sz w:val="48"/>
          <w:szCs w:val="48"/>
        </w:rPr>
      </w:pPr>
    </w:p>
    <w:p w14:paraId="4E96E0B5">
      <w:pPr>
        <w:autoSpaceDE w:val="0"/>
        <w:autoSpaceDN w:val="0"/>
        <w:adjustRightInd w:val="0"/>
        <w:spacing w:line="360" w:lineRule="exact"/>
        <w:jc w:val="center"/>
        <w:rPr>
          <w:rFonts w:hint="eastAsia" w:ascii="宋体" w:hAnsi="宋体" w:cs="宋体"/>
          <w:b/>
          <w:color w:val="000000"/>
          <w:sz w:val="44"/>
          <w:szCs w:val="44"/>
        </w:rPr>
      </w:pPr>
      <w:r>
        <w:rPr>
          <w:rFonts w:hint="eastAsia" w:ascii="宋体" w:hAnsi="宋体" w:cs="宋体"/>
          <w:b/>
          <w:color w:val="000000"/>
          <w:sz w:val="44"/>
          <w:szCs w:val="44"/>
        </w:rPr>
        <w:t xml:space="preserve"> </w:t>
      </w:r>
    </w:p>
    <w:p w14:paraId="0D3760DD">
      <w:pPr>
        <w:spacing w:before="240"/>
        <w:jc w:val="center"/>
        <w:rPr>
          <w:rStyle w:val="68"/>
          <w:rFonts w:hint="eastAsia" w:ascii="宋体" w:hAnsi="宋体" w:cs="宋体"/>
          <w:b/>
          <w:bCs/>
          <w:sz w:val="44"/>
          <w:szCs w:val="44"/>
          <w:lang w:val="zh-CN"/>
        </w:rPr>
      </w:pPr>
    </w:p>
    <w:p w14:paraId="208BC159">
      <w:pPr>
        <w:jc w:val="center"/>
        <w:rPr>
          <w:rStyle w:val="68"/>
          <w:rFonts w:hint="eastAsia" w:ascii="宋体" w:hAnsi="宋体" w:cs="宋体"/>
          <w:b/>
          <w:bCs/>
          <w:sz w:val="32"/>
          <w:szCs w:val="32"/>
        </w:rPr>
      </w:pPr>
    </w:p>
    <w:p w14:paraId="2C853C9D">
      <w:pPr>
        <w:spacing w:line="360" w:lineRule="auto"/>
        <w:jc w:val="center"/>
        <w:rPr>
          <w:rStyle w:val="68"/>
          <w:b/>
          <w:bCs/>
        </w:rPr>
      </w:pPr>
      <w:r>
        <w:rPr>
          <w:rStyle w:val="68"/>
          <w:b/>
          <w:bCs/>
        </w:rPr>
        <w:drawing>
          <wp:inline distT="0" distB="0" distL="114300" distR="114300">
            <wp:extent cx="1871980" cy="1802765"/>
            <wp:effectExtent l="0" t="0" r="13970" b="6985"/>
            <wp:docPr id="2"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1"/>
                    <pic:cNvPicPr>
                      <a:picLocks noChangeAspect="1"/>
                    </pic:cNvPicPr>
                  </pic:nvPicPr>
                  <pic:blipFill>
                    <a:blip r:embed="rId22"/>
                    <a:stretch>
                      <a:fillRect/>
                    </a:stretch>
                  </pic:blipFill>
                  <pic:spPr>
                    <a:xfrm>
                      <a:off x="0" y="0"/>
                      <a:ext cx="1871980" cy="1802765"/>
                    </a:xfrm>
                    <a:prstGeom prst="rect">
                      <a:avLst/>
                    </a:prstGeom>
                    <a:noFill/>
                    <a:ln>
                      <a:noFill/>
                    </a:ln>
                  </pic:spPr>
                </pic:pic>
              </a:graphicData>
            </a:graphic>
          </wp:inline>
        </w:drawing>
      </w:r>
    </w:p>
    <w:p w14:paraId="0E731F3E">
      <w:pPr>
        <w:jc w:val="center"/>
        <w:rPr>
          <w:rStyle w:val="68"/>
          <w:b/>
          <w:bCs/>
        </w:rPr>
      </w:pPr>
    </w:p>
    <w:p w14:paraId="71823695">
      <w:pPr>
        <w:spacing w:before="240"/>
        <w:jc w:val="center"/>
        <w:rPr>
          <w:rStyle w:val="68"/>
          <w:rFonts w:hint="eastAsia" w:ascii="宋体" w:hAnsi="宋体" w:cs="宋体"/>
          <w:b/>
          <w:bCs/>
          <w:sz w:val="84"/>
          <w:szCs w:val="84"/>
        </w:rPr>
      </w:pPr>
      <w:r>
        <w:rPr>
          <w:rStyle w:val="68"/>
          <w:rFonts w:hint="eastAsia" w:ascii="宋体" w:hAnsi="宋体" w:cs="宋体"/>
          <w:b/>
          <w:bCs/>
          <w:sz w:val="84"/>
          <w:szCs w:val="84"/>
        </w:rPr>
        <w:t>招标</w:t>
      </w:r>
      <w:r>
        <w:rPr>
          <w:rStyle w:val="68"/>
          <w:rFonts w:ascii="宋体" w:hAnsi="宋体" w:cs="宋体"/>
          <w:b/>
          <w:bCs/>
          <w:sz w:val="84"/>
          <w:szCs w:val="84"/>
        </w:rPr>
        <w:t>文件</w:t>
      </w:r>
    </w:p>
    <w:p w14:paraId="2B74E0A6">
      <w:pPr>
        <w:jc w:val="center"/>
        <w:rPr>
          <w:rStyle w:val="68"/>
          <w:rFonts w:hint="eastAsia" w:ascii="宋体" w:hAnsi="宋体" w:cs="宋体"/>
          <w:b/>
          <w:bCs/>
          <w:sz w:val="32"/>
          <w:szCs w:val="32"/>
        </w:rPr>
      </w:pPr>
    </w:p>
    <w:p w14:paraId="3DDB1726">
      <w:pPr>
        <w:jc w:val="center"/>
        <w:rPr>
          <w:rStyle w:val="68"/>
          <w:b/>
          <w:bCs/>
        </w:rPr>
      </w:pPr>
    </w:p>
    <w:p w14:paraId="1913D44A">
      <w:pPr>
        <w:jc w:val="center"/>
        <w:rPr>
          <w:rStyle w:val="68"/>
          <w:b/>
          <w:bCs/>
        </w:rPr>
      </w:pPr>
    </w:p>
    <w:p w14:paraId="28C3D94D">
      <w:pPr>
        <w:jc w:val="center"/>
        <w:rPr>
          <w:rStyle w:val="68"/>
          <w:b/>
          <w:bCs/>
        </w:rPr>
      </w:pPr>
    </w:p>
    <w:p w14:paraId="7C741E35">
      <w:pPr>
        <w:jc w:val="center"/>
        <w:rPr>
          <w:rStyle w:val="68"/>
          <w:b/>
          <w:bCs/>
        </w:rPr>
      </w:pPr>
    </w:p>
    <w:p w14:paraId="0DB7E326">
      <w:pPr>
        <w:rPr>
          <w:rStyle w:val="68"/>
          <w:b/>
          <w:bCs/>
        </w:rPr>
      </w:pPr>
    </w:p>
    <w:p w14:paraId="6291E113">
      <w:pPr>
        <w:rPr>
          <w:rStyle w:val="68"/>
          <w:b/>
          <w:bCs/>
        </w:rPr>
      </w:pPr>
    </w:p>
    <w:p w14:paraId="11747F8E">
      <w:pPr>
        <w:rPr>
          <w:rStyle w:val="68"/>
          <w:b/>
          <w:bCs/>
        </w:rPr>
      </w:pPr>
    </w:p>
    <w:p w14:paraId="3D4E2268">
      <w:pPr>
        <w:rPr>
          <w:rStyle w:val="68"/>
          <w:b/>
          <w:bCs/>
        </w:rPr>
      </w:pPr>
    </w:p>
    <w:p w14:paraId="798AD5FB">
      <w:pPr>
        <w:rPr>
          <w:rStyle w:val="68"/>
          <w:b/>
          <w:bCs/>
        </w:rPr>
      </w:pPr>
    </w:p>
    <w:p w14:paraId="5E3FF518">
      <w:pPr>
        <w:rPr>
          <w:rStyle w:val="68"/>
          <w:b/>
          <w:bCs/>
        </w:rPr>
      </w:pPr>
    </w:p>
    <w:p w14:paraId="56AA7DBF">
      <w:pPr>
        <w:rPr>
          <w:rStyle w:val="68"/>
          <w:b/>
          <w:bCs/>
        </w:rPr>
      </w:pPr>
    </w:p>
    <w:p w14:paraId="65A6F508">
      <w:pPr>
        <w:jc w:val="center"/>
        <w:rPr>
          <w:rStyle w:val="68"/>
          <w:b/>
          <w:bCs/>
        </w:rPr>
      </w:pPr>
    </w:p>
    <w:p w14:paraId="51131C48">
      <w:pPr>
        <w:ind w:firstLine="643" w:firstLineChars="200"/>
        <w:rPr>
          <w:rStyle w:val="68"/>
          <w:rFonts w:hint="eastAsia" w:ascii="宋体" w:hAnsi="宋体" w:cs="宋体"/>
          <w:b/>
          <w:bCs/>
          <w:sz w:val="32"/>
          <w:szCs w:val="32"/>
        </w:rPr>
      </w:pPr>
      <w:r>
        <w:rPr>
          <w:rStyle w:val="68"/>
          <w:rFonts w:hint="eastAsia" w:ascii="宋体" w:hAnsi="宋体" w:cs="宋体"/>
          <w:b/>
          <w:bCs/>
          <w:sz w:val="32"/>
          <w:szCs w:val="32"/>
        </w:rPr>
        <w:t xml:space="preserve">项目名称：新能源汽车综合应用实训室建设项目 </w:t>
      </w:r>
    </w:p>
    <w:p w14:paraId="6530D0F8">
      <w:pPr>
        <w:ind w:left="2234" w:leftChars="1064"/>
        <w:rPr>
          <w:rStyle w:val="68"/>
          <w:rFonts w:hint="eastAsia" w:ascii="宋体" w:hAnsi="宋体" w:cs="宋体"/>
          <w:b/>
          <w:bCs/>
          <w:sz w:val="30"/>
          <w:szCs w:val="30"/>
        </w:rPr>
      </w:pPr>
    </w:p>
    <w:p w14:paraId="1CCD99A1">
      <w:pPr>
        <w:ind w:firstLine="602" w:firstLineChars="200"/>
        <w:rPr>
          <w:rStyle w:val="68"/>
          <w:rFonts w:hint="eastAsia" w:ascii="宋体" w:hAnsi="宋体" w:cs="宋体"/>
          <w:b/>
          <w:bCs/>
          <w:sz w:val="30"/>
          <w:szCs w:val="30"/>
        </w:rPr>
      </w:pPr>
      <w:r>
        <w:rPr>
          <w:rStyle w:val="68"/>
          <w:rFonts w:hint="eastAsia" w:ascii="宋体" w:hAnsi="宋体" w:cs="宋体"/>
          <w:b/>
          <w:bCs/>
          <w:sz w:val="30"/>
          <w:szCs w:val="30"/>
        </w:rPr>
        <w:t>项目编号：</w:t>
      </w:r>
      <w:r>
        <w:fldChar w:fldCharType="begin"/>
      </w:r>
      <w:r>
        <w:instrText xml:space="preserve"> HYPERLINK "https://www.zcygov.cn/gaea/api/project/flow/redirect?projectId=7295595741402890312&amp;newUrl=https://www.zcygov.cn/micro-app-back-index/blank?_flow_type_=agency&amp;_flow_projectId_=7295595741402890312&amp;_jump_page_type_=project_procurement_management_flow&amp;_app_=zcy.procurement&amp;oldUrl=https://www.zcygov.cn/project-center/_procurement_/project-result-detail/7295595741402890312" \t "https://www.zcygov.cn/project-center/_procurement_/self-project/_blank" </w:instrText>
      </w:r>
      <w:r>
        <w:fldChar w:fldCharType="separate"/>
      </w:r>
      <w:r>
        <w:rPr>
          <w:rStyle w:val="68"/>
          <w:rFonts w:hint="eastAsia" w:ascii="宋体" w:hAnsi="宋体" w:cs="宋体"/>
          <w:b/>
          <w:bCs/>
          <w:sz w:val="30"/>
          <w:szCs w:val="30"/>
        </w:rPr>
        <w:t>采购计划-[2025]-01808号-1</w:t>
      </w:r>
      <w:r>
        <w:rPr>
          <w:rStyle w:val="68"/>
          <w:rFonts w:hint="eastAsia" w:ascii="宋体" w:hAnsi="宋体" w:cs="宋体"/>
          <w:b/>
          <w:bCs/>
          <w:sz w:val="30"/>
          <w:szCs w:val="30"/>
        </w:rPr>
        <w:fldChar w:fldCharType="end"/>
      </w:r>
    </w:p>
    <w:p w14:paraId="168B7FAC">
      <w:pPr>
        <w:ind w:firstLine="1928" w:firstLineChars="600"/>
        <w:rPr>
          <w:rStyle w:val="68"/>
          <w:rFonts w:hint="eastAsia" w:ascii="宋体" w:hAnsi="宋体" w:cs="宋体"/>
          <w:b/>
          <w:bCs/>
          <w:sz w:val="32"/>
          <w:szCs w:val="32"/>
        </w:rPr>
      </w:pPr>
    </w:p>
    <w:p w14:paraId="00AD9639">
      <w:pPr>
        <w:ind w:firstLine="643" w:firstLineChars="200"/>
        <w:rPr>
          <w:rStyle w:val="68"/>
          <w:rFonts w:hint="eastAsia" w:ascii="宋体" w:hAnsi="宋体" w:cs="宋体"/>
          <w:b/>
          <w:bCs/>
          <w:sz w:val="32"/>
          <w:szCs w:val="32"/>
        </w:rPr>
      </w:pPr>
      <w:r>
        <w:rPr>
          <w:rStyle w:val="68"/>
          <w:rFonts w:hint="eastAsia" w:ascii="宋体" w:hAnsi="宋体" w:cs="宋体"/>
          <w:b/>
          <w:bCs/>
          <w:sz w:val="32"/>
          <w:szCs w:val="32"/>
        </w:rPr>
        <w:t>采   购   人：吉林工程职业学院</w:t>
      </w:r>
    </w:p>
    <w:p w14:paraId="1E68A6AE">
      <w:pPr>
        <w:jc w:val="center"/>
        <w:rPr>
          <w:rStyle w:val="68"/>
          <w:rFonts w:hint="eastAsia" w:ascii="宋体" w:hAnsi="宋体" w:cs="宋体"/>
          <w:b/>
          <w:bCs/>
          <w:sz w:val="32"/>
          <w:szCs w:val="32"/>
        </w:rPr>
      </w:pPr>
    </w:p>
    <w:p w14:paraId="2FCF2DDD">
      <w:pPr>
        <w:ind w:firstLine="643" w:firstLineChars="200"/>
        <w:rPr>
          <w:rStyle w:val="68"/>
          <w:rFonts w:hint="eastAsia" w:ascii="宋体" w:hAnsi="宋体" w:cs="宋体"/>
          <w:b/>
          <w:bCs/>
          <w:sz w:val="32"/>
          <w:szCs w:val="32"/>
        </w:rPr>
      </w:pPr>
      <w:r>
        <w:rPr>
          <w:rStyle w:val="68"/>
          <w:rFonts w:hint="eastAsia" w:ascii="宋体" w:hAnsi="宋体" w:cs="宋体"/>
          <w:b/>
          <w:bCs/>
          <w:sz w:val="32"/>
          <w:szCs w:val="32"/>
        </w:rPr>
        <w:t>采购代理机构：鼎正众创建设集团有限公司</w:t>
      </w:r>
    </w:p>
    <w:p w14:paraId="3A1F55A8">
      <w:pPr>
        <w:jc w:val="center"/>
        <w:rPr>
          <w:rStyle w:val="68"/>
          <w:b/>
          <w:bCs/>
          <w:sz w:val="32"/>
          <w:szCs w:val="32"/>
        </w:rPr>
      </w:pPr>
    </w:p>
    <w:p w14:paraId="5F25F279">
      <w:pPr>
        <w:jc w:val="center"/>
        <w:rPr>
          <w:rFonts w:hint="eastAsia" w:ascii="宋体" w:hAnsi="宋体" w:cs="宋体"/>
          <w:b/>
          <w:sz w:val="28"/>
          <w:szCs w:val="28"/>
        </w:rPr>
        <w:sectPr>
          <w:headerReference r:id="rId4" w:type="first"/>
          <w:footerReference r:id="rId7" w:type="first"/>
          <w:headerReference r:id="rId3" w:type="default"/>
          <w:footerReference r:id="rId5" w:type="default"/>
          <w:footerReference r:id="rId6" w:type="even"/>
          <w:pgSz w:w="11906" w:h="16838"/>
          <w:pgMar w:top="1440" w:right="1080" w:bottom="1440" w:left="1080" w:header="851" w:footer="992" w:gutter="0"/>
          <w:cols w:space="720" w:num="1"/>
          <w:titlePg/>
          <w:docGrid w:linePitch="312" w:charSpace="0"/>
        </w:sectPr>
      </w:pPr>
      <w:r>
        <w:rPr>
          <w:rStyle w:val="68"/>
          <w:b/>
          <w:bCs/>
          <w:sz w:val="32"/>
          <w:szCs w:val="32"/>
        </w:rPr>
        <w:t>时间：</w:t>
      </w:r>
      <w:r>
        <w:rPr>
          <w:rStyle w:val="68"/>
          <w:rFonts w:ascii="宋体" w:hAnsi="宋体" w:cs="宋体"/>
          <w:b/>
          <w:bCs/>
          <w:sz w:val="32"/>
          <w:szCs w:val="32"/>
        </w:rPr>
        <w:t>二0二</w:t>
      </w:r>
      <w:r>
        <w:rPr>
          <w:rStyle w:val="68"/>
          <w:rFonts w:hint="eastAsia" w:ascii="宋体" w:hAnsi="宋体" w:cs="宋体"/>
          <w:b/>
          <w:bCs/>
          <w:sz w:val="32"/>
          <w:szCs w:val="32"/>
        </w:rPr>
        <w:t>五</w:t>
      </w:r>
      <w:r>
        <w:rPr>
          <w:rStyle w:val="68"/>
          <w:b/>
          <w:bCs/>
          <w:sz w:val="32"/>
          <w:szCs w:val="32"/>
        </w:rPr>
        <w:t>年</w:t>
      </w:r>
      <w:r>
        <w:rPr>
          <w:rStyle w:val="68"/>
          <w:rFonts w:hint="eastAsia"/>
          <w:b/>
          <w:bCs/>
          <w:sz w:val="32"/>
          <w:szCs w:val="32"/>
        </w:rPr>
        <w:t>三</w:t>
      </w:r>
      <w:r>
        <w:rPr>
          <w:rStyle w:val="68"/>
          <w:b/>
          <w:bCs/>
          <w:sz w:val="32"/>
          <w:szCs w:val="32"/>
        </w:rPr>
        <w:t>月</w:t>
      </w:r>
    </w:p>
    <w:p w14:paraId="4DD3E56C">
      <w:pPr>
        <w:pStyle w:val="14"/>
        <w:tabs>
          <w:tab w:val="right" w:leader="middleDot" w:pos="9638"/>
        </w:tabs>
        <w:jc w:val="center"/>
        <w:rPr>
          <w:rFonts w:hint="eastAsia" w:ascii="宋体" w:hAnsi="宋体" w:cs="宋体"/>
          <w:b/>
          <w:color w:val="000000"/>
          <w:sz w:val="56"/>
          <w:szCs w:val="56"/>
          <w:lang w:val="zh-CN"/>
        </w:rPr>
      </w:pPr>
      <w:r>
        <w:rPr>
          <w:rFonts w:hint="eastAsia" w:ascii="宋体" w:hAnsi="宋体" w:cs="宋体"/>
          <w:b/>
          <w:color w:val="000000"/>
          <w:sz w:val="56"/>
          <w:szCs w:val="56"/>
          <w:lang w:val="zh-CN"/>
        </w:rPr>
        <w:t>目  录</w:t>
      </w:r>
    </w:p>
    <w:p w14:paraId="5515356D">
      <w:pPr>
        <w:pStyle w:val="14"/>
        <w:tabs>
          <w:tab w:val="right" w:leader="dot" w:pos="9746"/>
        </w:tabs>
        <w:spacing w:line="360" w:lineRule="auto"/>
        <w:rPr>
          <w:rFonts w:hint="eastAsia" w:ascii="宋体" w:hAnsi="宋体" w:cs="宋体"/>
          <w:sz w:val="32"/>
          <w:szCs w:val="32"/>
        </w:rPr>
      </w:pPr>
      <w:r>
        <w:rPr>
          <w:rFonts w:hint="eastAsia" w:ascii="宋体" w:hAnsi="宋体" w:cs="宋体"/>
          <w:b/>
          <w:color w:val="000000"/>
          <w:sz w:val="32"/>
          <w:szCs w:val="32"/>
          <w:lang w:val="zh-CN"/>
        </w:rPr>
        <w:fldChar w:fldCharType="begin"/>
      </w:r>
      <w:r>
        <w:rPr>
          <w:rFonts w:hint="eastAsia" w:ascii="宋体" w:hAnsi="宋体" w:cs="宋体"/>
          <w:b/>
          <w:color w:val="000000"/>
          <w:sz w:val="32"/>
          <w:szCs w:val="32"/>
          <w:lang w:val="zh-CN"/>
        </w:rPr>
        <w:instrText xml:space="preserve">TOC \o "1-1" \h \u </w:instrText>
      </w:r>
      <w:r>
        <w:rPr>
          <w:rFonts w:hint="eastAsia" w:ascii="宋体" w:hAnsi="宋体" w:cs="宋体"/>
          <w:b/>
          <w:color w:val="000000"/>
          <w:sz w:val="32"/>
          <w:szCs w:val="32"/>
          <w:lang w:val="zh-CN"/>
        </w:rPr>
        <w:fldChar w:fldCharType="separate"/>
      </w:r>
      <w:r>
        <w:fldChar w:fldCharType="begin"/>
      </w:r>
      <w:r>
        <w:instrText xml:space="preserve"> HYPERLINK \l "_Toc19486" </w:instrText>
      </w:r>
      <w:r>
        <w:fldChar w:fldCharType="separate"/>
      </w:r>
      <w:r>
        <w:rPr>
          <w:rFonts w:hint="eastAsia" w:ascii="宋体" w:hAnsi="宋体" w:cs="宋体"/>
          <w:sz w:val="32"/>
          <w:szCs w:val="32"/>
        </w:rPr>
        <w:t>第一章  招标公告</w:t>
      </w:r>
      <w:r>
        <w:rPr>
          <w:rFonts w:hint="eastAsia" w:ascii="宋体" w:hAnsi="宋体" w:cs="宋体"/>
          <w:sz w:val="32"/>
          <w:szCs w:val="32"/>
        </w:rPr>
        <w:tab/>
      </w:r>
      <w:r>
        <w:rPr>
          <w:rFonts w:hint="eastAsia" w:ascii="宋体" w:hAnsi="宋体" w:cs="宋体"/>
          <w:sz w:val="32"/>
          <w:szCs w:val="32"/>
        </w:rPr>
        <w:fldChar w:fldCharType="begin"/>
      </w:r>
      <w:r>
        <w:rPr>
          <w:rFonts w:hint="eastAsia" w:ascii="宋体" w:hAnsi="宋体" w:cs="宋体"/>
          <w:sz w:val="32"/>
          <w:szCs w:val="32"/>
        </w:rPr>
        <w:instrText xml:space="preserve"> PAGEREF _Toc19486 \h </w:instrText>
      </w:r>
      <w:r>
        <w:rPr>
          <w:rFonts w:hint="eastAsia" w:ascii="宋体" w:hAnsi="宋体" w:cs="宋体"/>
          <w:sz w:val="32"/>
          <w:szCs w:val="32"/>
        </w:rPr>
        <w:fldChar w:fldCharType="separate"/>
      </w:r>
      <w:r>
        <w:rPr>
          <w:rFonts w:hint="eastAsia" w:ascii="宋体" w:hAnsi="宋体" w:cs="宋体"/>
          <w:sz w:val="32"/>
          <w:szCs w:val="32"/>
        </w:rPr>
        <w:t>1</w:t>
      </w:r>
      <w:r>
        <w:rPr>
          <w:rFonts w:hint="eastAsia" w:ascii="宋体" w:hAnsi="宋体" w:cs="宋体"/>
          <w:sz w:val="32"/>
          <w:szCs w:val="32"/>
        </w:rPr>
        <w:fldChar w:fldCharType="end"/>
      </w:r>
      <w:r>
        <w:rPr>
          <w:rFonts w:hint="eastAsia" w:ascii="宋体" w:hAnsi="宋体" w:cs="宋体"/>
          <w:sz w:val="32"/>
          <w:szCs w:val="32"/>
        </w:rPr>
        <w:fldChar w:fldCharType="end"/>
      </w:r>
    </w:p>
    <w:p w14:paraId="29AF8498">
      <w:pPr>
        <w:pStyle w:val="14"/>
        <w:tabs>
          <w:tab w:val="right" w:leader="dot" w:pos="9746"/>
        </w:tabs>
        <w:spacing w:line="360" w:lineRule="auto"/>
        <w:rPr>
          <w:rFonts w:hint="eastAsia" w:ascii="宋体" w:hAnsi="宋体" w:cs="宋体"/>
          <w:sz w:val="32"/>
          <w:szCs w:val="32"/>
        </w:rPr>
      </w:pPr>
      <w:r>
        <w:fldChar w:fldCharType="begin"/>
      </w:r>
      <w:r>
        <w:instrText xml:space="preserve"> HYPERLINK \l "_Toc18032" </w:instrText>
      </w:r>
      <w:r>
        <w:fldChar w:fldCharType="separate"/>
      </w:r>
      <w:r>
        <w:rPr>
          <w:rFonts w:hint="eastAsia" w:ascii="宋体" w:hAnsi="宋体" w:cs="宋体"/>
          <w:sz w:val="32"/>
          <w:szCs w:val="32"/>
          <w:lang w:val="zh-CN"/>
        </w:rPr>
        <w:t>第二章  投标人须知</w:t>
      </w:r>
      <w:r>
        <w:rPr>
          <w:rFonts w:hint="eastAsia" w:ascii="宋体" w:hAnsi="宋体" w:cs="宋体"/>
          <w:sz w:val="32"/>
          <w:szCs w:val="32"/>
        </w:rPr>
        <w:tab/>
      </w:r>
      <w:r>
        <w:rPr>
          <w:rFonts w:hint="eastAsia" w:ascii="宋体" w:hAnsi="宋体" w:cs="宋体"/>
          <w:sz w:val="32"/>
          <w:szCs w:val="32"/>
        </w:rPr>
        <w:fldChar w:fldCharType="begin"/>
      </w:r>
      <w:r>
        <w:rPr>
          <w:rFonts w:hint="eastAsia" w:ascii="宋体" w:hAnsi="宋体" w:cs="宋体"/>
          <w:sz w:val="32"/>
          <w:szCs w:val="32"/>
        </w:rPr>
        <w:instrText xml:space="preserve"> PAGEREF _Toc18032 \h </w:instrText>
      </w:r>
      <w:r>
        <w:rPr>
          <w:rFonts w:hint="eastAsia" w:ascii="宋体" w:hAnsi="宋体" w:cs="宋体"/>
          <w:sz w:val="32"/>
          <w:szCs w:val="32"/>
        </w:rPr>
        <w:fldChar w:fldCharType="separate"/>
      </w:r>
      <w:r>
        <w:rPr>
          <w:rFonts w:hint="eastAsia" w:ascii="宋体" w:hAnsi="宋体" w:cs="宋体"/>
          <w:sz w:val="32"/>
          <w:szCs w:val="32"/>
        </w:rPr>
        <w:t>5</w:t>
      </w:r>
      <w:r>
        <w:rPr>
          <w:rFonts w:hint="eastAsia" w:ascii="宋体" w:hAnsi="宋体" w:cs="宋体"/>
          <w:sz w:val="32"/>
          <w:szCs w:val="32"/>
        </w:rPr>
        <w:fldChar w:fldCharType="end"/>
      </w:r>
      <w:r>
        <w:rPr>
          <w:rFonts w:hint="eastAsia" w:ascii="宋体" w:hAnsi="宋体" w:cs="宋体"/>
          <w:sz w:val="32"/>
          <w:szCs w:val="32"/>
        </w:rPr>
        <w:fldChar w:fldCharType="end"/>
      </w:r>
    </w:p>
    <w:p w14:paraId="4D7E8792">
      <w:pPr>
        <w:pStyle w:val="14"/>
        <w:tabs>
          <w:tab w:val="right" w:leader="dot" w:pos="9746"/>
        </w:tabs>
        <w:spacing w:line="360" w:lineRule="auto"/>
        <w:rPr>
          <w:rFonts w:hint="eastAsia" w:ascii="宋体" w:hAnsi="宋体" w:cs="宋体"/>
          <w:sz w:val="32"/>
          <w:szCs w:val="32"/>
        </w:rPr>
      </w:pPr>
      <w:r>
        <w:fldChar w:fldCharType="begin"/>
      </w:r>
      <w:r>
        <w:instrText xml:space="preserve"> HYPERLINK \l "_Toc22101" </w:instrText>
      </w:r>
      <w:r>
        <w:fldChar w:fldCharType="separate"/>
      </w:r>
      <w:r>
        <w:rPr>
          <w:rFonts w:hint="eastAsia" w:ascii="宋体" w:hAnsi="宋体" w:cs="宋体"/>
          <w:sz w:val="32"/>
          <w:szCs w:val="32"/>
        </w:rPr>
        <w:t>第三章  评标标准和方法</w:t>
      </w:r>
      <w:r>
        <w:rPr>
          <w:rFonts w:hint="eastAsia" w:ascii="宋体" w:hAnsi="宋体" w:cs="宋体"/>
          <w:sz w:val="32"/>
          <w:szCs w:val="32"/>
        </w:rPr>
        <w:tab/>
      </w:r>
      <w:r>
        <w:rPr>
          <w:rFonts w:hint="eastAsia" w:ascii="宋体" w:hAnsi="宋体" w:cs="宋体"/>
          <w:sz w:val="32"/>
          <w:szCs w:val="32"/>
        </w:rPr>
        <w:fldChar w:fldCharType="begin"/>
      </w:r>
      <w:r>
        <w:rPr>
          <w:rFonts w:hint="eastAsia" w:ascii="宋体" w:hAnsi="宋体" w:cs="宋体"/>
          <w:sz w:val="32"/>
          <w:szCs w:val="32"/>
        </w:rPr>
        <w:instrText xml:space="preserve"> PAGEREF _Toc22101 \h </w:instrText>
      </w:r>
      <w:r>
        <w:rPr>
          <w:rFonts w:hint="eastAsia" w:ascii="宋体" w:hAnsi="宋体" w:cs="宋体"/>
          <w:sz w:val="32"/>
          <w:szCs w:val="32"/>
        </w:rPr>
        <w:fldChar w:fldCharType="separate"/>
      </w:r>
      <w:r>
        <w:rPr>
          <w:rFonts w:hint="eastAsia" w:ascii="宋体" w:hAnsi="宋体" w:cs="宋体"/>
          <w:sz w:val="32"/>
          <w:szCs w:val="32"/>
        </w:rPr>
        <w:t>21</w:t>
      </w:r>
      <w:r>
        <w:rPr>
          <w:rFonts w:hint="eastAsia" w:ascii="宋体" w:hAnsi="宋体" w:cs="宋体"/>
          <w:sz w:val="32"/>
          <w:szCs w:val="32"/>
        </w:rPr>
        <w:fldChar w:fldCharType="end"/>
      </w:r>
      <w:r>
        <w:rPr>
          <w:rFonts w:hint="eastAsia" w:ascii="宋体" w:hAnsi="宋体" w:cs="宋体"/>
          <w:sz w:val="32"/>
          <w:szCs w:val="32"/>
        </w:rPr>
        <w:fldChar w:fldCharType="end"/>
      </w:r>
    </w:p>
    <w:p w14:paraId="0A23C967">
      <w:pPr>
        <w:pStyle w:val="14"/>
        <w:tabs>
          <w:tab w:val="right" w:leader="dot" w:pos="9746"/>
        </w:tabs>
        <w:spacing w:line="360" w:lineRule="auto"/>
        <w:rPr>
          <w:rFonts w:hint="eastAsia" w:ascii="宋体" w:hAnsi="宋体" w:cs="宋体"/>
          <w:sz w:val="32"/>
          <w:szCs w:val="32"/>
        </w:rPr>
      </w:pPr>
      <w:r>
        <w:fldChar w:fldCharType="begin"/>
      </w:r>
      <w:r>
        <w:instrText xml:space="preserve"> HYPERLINK \l "_Toc26696" </w:instrText>
      </w:r>
      <w:r>
        <w:fldChar w:fldCharType="separate"/>
      </w:r>
      <w:r>
        <w:rPr>
          <w:rFonts w:hint="eastAsia" w:ascii="宋体" w:hAnsi="宋体" w:cs="宋体"/>
          <w:sz w:val="32"/>
          <w:szCs w:val="32"/>
          <w:lang w:val="zh-CN"/>
        </w:rPr>
        <w:t>第</w:t>
      </w:r>
      <w:r>
        <w:rPr>
          <w:rFonts w:hint="eastAsia" w:ascii="宋体" w:hAnsi="宋体" w:cs="宋体"/>
          <w:sz w:val="32"/>
          <w:szCs w:val="32"/>
        </w:rPr>
        <w:t>四</w:t>
      </w:r>
      <w:r>
        <w:rPr>
          <w:rFonts w:hint="eastAsia" w:ascii="宋体" w:hAnsi="宋体" w:cs="宋体"/>
          <w:sz w:val="32"/>
          <w:szCs w:val="32"/>
          <w:lang w:val="zh-CN"/>
        </w:rPr>
        <w:t xml:space="preserve">章 </w:t>
      </w:r>
      <w:r>
        <w:rPr>
          <w:rFonts w:hint="eastAsia" w:ascii="宋体" w:hAnsi="宋体" w:cs="宋体"/>
          <w:sz w:val="32"/>
          <w:szCs w:val="32"/>
        </w:rPr>
        <w:t xml:space="preserve"> </w:t>
      </w:r>
      <w:r>
        <w:rPr>
          <w:rFonts w:hint="eastAsia" w:ascii="宋体" w:hAnsi="宋体" w:cs="宋体"/>
          <w:sz w:val="32"/>
          <w:szCs w:val="32"/>
          <w:lang w:val="zh-CN"/>
        </w:rPr>
        <w:t>政府采购合同书格式（范本）</w:t>
      </w:r>
      <w:r>
        <w:rPr>
          <w:rFonts w:hint="eastAsia" w:ascii="宋体" w:hAnsi="宋体" w:cs="宋体"/>
          <w:sz w:val="32"/>
          <w:szCs w:val="32"/>
        </w:rPr>
        <w:tab/>
      </w:r>
      <w:r>
        <w:rPr>
          <w:rFonts w:hint="eastAsia" w:ascii="宋体" w:hAnsi="宋体" w:cs="宋体"/>
          <w:sz w:val="32"/>
          <w:szCs w:val="32"/>
        </w:rPr>
        <w:fldChar w:fldCharType="begin"/>
      </w:r>
      <w:r>
        <w:rPr>
          <w:rFonts w:hint="eastAsia" w:ascii="宋体" w:hAnsi="宋体" w:cs="宋体"/>
          <w:sz w:val="32"/>
          <w:szCs w:val="32"/>
        </w:rPr>
        <w:instrText xml:space="preserve"> PAGEREF _Toc26696 \h </w:instrText>
      </w:r>
      <w:r>
        <w:rPr>
          <w:rFonts w:hint="eastAsia" w:ascii="宋体" w:hAnsi="宋体" w:cs="宋体"/>
          <w:sz w:val="32"/>
          <w:szCs w:val="32"/>
        </w:rPr>
        <w:fldChar w:fldCharType="separate"/>
      </w:r>
      <w:r>
        <w:rPr>
          <w:rFonts w:hint="eastAsia" w:ascii="宋体" w:hAnsi="宋体" w:cs="宋体"/>
          <w:sz w:val="32"/>
          <w:szCs w:val="32"/>
        </w:rPr>
        <w:t>33</w:t>
      </w:r>
      <w:r>
        <w:rPr>
          <w:rFonts w:hint="eastAsia" w:ascii="宋体" w:hAnsi="宋体" w:cs="宋体"/>
          <w:sz w:val="32"/>
          <w:szCs w:val="32"/>
        </w:rPr>
        <w:fldChar w:fldCharType="end"/>
      </w:r>
      <w:r>
        <w:rPr>
          <w:rFonts w:hint="eastAsia" w:ascii="宋体" w:hAnsi="宋体" w:cs="宋体"/>
          <w:sz w:val="32"/>
          <w:szCs w:val="32"/>
        </w:rPr>
        <w:fldChar w:fldCharType="end"/>
      </w:r>
    </w:p>
    <w:p w14:paraId="19F23456">
      <w:pPr>
        <w:pStyle w:val="14"/>
        <w:tabs>
          <w:tab w:val="right" w:leader="dot" w:pos="9746"/>
        </w:tabs>
        <w:spacing w:line="360" w:lineRule="auto"/>
        <w:rPr>
          <w:rFonts w:hint="eastAsia" w:ascii="宋体" w:hAnsi="宋体" w:cs="宋体"/>
          <w:sz w:val="32"/>
          <w:szCs w:val="32"/>
        </w:rPr>
      </w:pPr>
      <w:r>
        <w:fldChar w:fldCharType="begin"/>
      </w:r>
      <w:r>
        <w:instrText xml:space="preserve"> HYPERLINK \l "_Toc29433" </w:instrText>
      </w:r>
      <w:r>
        <w:fldChar w:fldCharType="separate"/>
      </w:r>
      <w:r>
        <w:rPr>
          <w:rFonts w:hint="eastAsia" w:ascii="宋体" w:hAnsi="宋体" w:cs="宋体"/>
          <w:sz w:val="32"/>
          <w:szCs w:val="32"/>
        </w:rPr>
        <w:t>第五章  采购需求</w:t>
      </w:r>
      <w:r>
        <w:rPr>
          <w:rFonts w:hint="eastAsia" w:ascii="宋体" w:hAnsi="宋体" w:cs="宋体"/>
          <w:sz w:val="32"/>
          <w:szCs w:val="32"/>
        </w:rPr>
        <w:tab/>
      </w:r>
      <w:r>
        <w:rPr>
          <w:rFonts w:hint="eastAsia" w:ascii="宋体" w:hAnsi="宋体" w:cs="宋体"/>
          <w:sz w:val="32"/>
          <w:szCs w:val="32"/>
        </w:rPr>
        <w:fldChar w:fldCharType="begin"/>
      </w:r>
      <w:r>
        <w:rPr>
          <w:rFonts w:hint="eastAsia" w:ascii="宋体" w:hAnsi="宋体" w:cs="宋体"/>
          <w:sz w:val="32"/>
          <w:szCs w:val="32"/>
        </w:rPr>
        <w:instrText xml:space="preserve"> PAGEREF _Toc29433 \h </w:instrText>
      </w:r>
      <w:r>
        <w:rPr>
          <w:rFonts w:hint="eastAsia" w:ascii="宋体" w:hAnsi="宋体" w:cs="宋体"/>
          <w:sz w:val="32"/>
          <w:szCs w:val="32"/>
        </w:rPr>
        <w:fldChar w:fldCharType="separate"/>
      </w:r>
      <w:r>
        <w:rPr>
          <w:rFonts w:hint="eastAsia" w:ascii="宋体" w:hAnsi="宋体" w:cs="宋体"/>
          <w:sz w:val="32"/>
          <w:szCs w:val="32"/>
        </w:rPr>
        <w:t>35</w:t>
      </w:r>
      <w:r>
        <w:rPr>
          <w:rFonts w:hint="eastAsia" w:ascii="宋体" w:hAnsi="宋体" w:cs="宋体"/>
          <w:sz w:val="32"/>
          <w:szCs w:val="32"/>
        </w:rPr>
        <w:fldChar w:fldCharType="end"/>
      </w:r>
      <w:r>
        <w:rPr>
          <w:rFonts w:hint="eastAsia" w:ascii="宋体" w:hAnsi="宋体" w:cs="宋体"/>
          <w:sz w:val="32"/>
          <w:szCs w:val="32"/>
        </w:rPr>
        <w:fldChar w:fldCharType="end"/>
      </w:r>
    </w:p>
    <w:p w14:paraId="7BCE7864">
      <w:pPr>
        <w:pStyle w:val="14"/>
        <w:tabs>
          <w:tab w:val="right" w:leader="dot" w:pos="9746"/>
        </w:tabs>
        <w:spacing w:line="360" w:lineRule="auto"/>
        <w:rPr>
          <w:rFonts w:hint="eastAsia" w:ascii="宋体" w:hAnsi="宋体" w:cs="宋体"/>
          <w:sz w:val="32"/>
          <w:szCs w:val="32"/>
        </w:rPr>
      </w:pPr>
      <w:r>
        <w:fldChar w:fldCharType="begin"/>
      </w:r>
      <w:r>
        <w:instrText xml:space="preserve"> HYPERLINK \l "_Toc16637" </w:instrText>
      </w:r>
      <w:r>
        <w:fldChar w:fldCharType="separate"/>
      </w:r>
      <w:r>
        <w:rPr>
          <w:rFonts w:hint="eastAsia" w:ascii="宋体" w:hAnsi="宋体" w:cs="宋体"/>
          <w:sz w:val="32"/>
          <w:szCs w:val="32"/>
          <w:lang w:val="zh-CN"/>
        </w:rPr>
        <w:t>第</w:t>
      </w:r>
      <w:r>
        <w:rPr>
          <w:rFonts w:hint="eastAsia" w:ascii="宋体" w:hAnsi="宋体" w:cs="宋体"/>
          <w:sz w:val="32"/>
          <w:szCs w:val="32"/>
        </w:rPr>
        <w:t>六</w:t>
      </w:r>
      <w:r>
        <w:rPr>
          <w:rFonts w:hint="eastAsia" w:ascii="宋体" w:hAnsi="宋体" w:cs="宋体"/>
          <w:sz w:val="32"/>
          <w:szCs w:val="32"/>
          <w:lang w:val="zh-CN"/>
        </w:rPr>
        <w:t>章  投标文件构成、要求及格式</w:t>
      </w:r>
      <w:r>
        <w:rPr>
          <w:rFonts w:hint="eastAsia" w:ascii="宋体" w:hAnsi="宋体" w:cs="宋体"/>
          <w:sz w:val="32"/>
          <w:szCs w:val="32"/>
        </w:rPr>
        <w:tab/>
      </w:r>
      <w:r>
        <w:rPr>
          <w:rFonts w:hint="eastAsia" w:ascii="宋体" w:hAnsi="宋体" w:cs="宋体"/>
          <w:sz w:val="32"/>
          <w:szCs w:val="32"/>
        </w:rPr>
        <w:fldChar w:fldCharType="begin"/>
      </w:r>
      <w:r>
        <w:rPr>
          <w:rFonts w:hint="eastAsia" w:ascii="宋体" w:hAnsi="宋体" w:cs="宋体"/>
          <w:sz w:val="32"/>
          <w:szCs w:val="32"/>
        </w:rPr>
        <w:instrText xml:space="preserve"> PAGEREF _Toc16637 \h </w:instrText>
      </w:r>
      <w:r>
        <w:rPr>
          <w:rFonts w:hint="eastAsia" w:ascii="宋体" w:hAnsi="宋体" w:cs="宋体"/>
          <w:sz w:val="32"/>
          <w:szCs w:val="32"/>
        </w:rPr>
        <w:fldChar w:fldCharType="separate"/>
      </w:r>
      <w:r>
        <w:rPr>
          <w:rFonts w:hint="eastAsia" w:ascii="宋体" w:hAnsi="宋体" w:cs="宋体"/>
          <w:sz w:val="32"/>
          <w:szCs w:val="32"/>
        </w:rPr>
        <w:t>75</w:t>
      </w:r>
      <w:r>
        <w:rPr>
          <w:rFonts w:hint="eastAsia" w:ascii="宋体" w:hAnsi="宋体" w:cs="宋体"/>
          <w:sz w:val="32"/>
          <w:szCs w:val="32"/>
        </w:rPr>
        <w:fldChar w:fldCharType="end"/>
      </w:r>
      <w:r>
        <w:rPr>
          <w:rFonts w:hint="eastAsia" w:ascii="宋体" w:hAnsi="宋体" w:cs="宋体"/>
          <w:sz w:val="32"/>
          <w:szCs w:val="32"/>
        </w:rPr>
        <w:fldChar w:fldCharType="end"/>
      </w:r>
    </w:p>
    <w:p w14:paraId="3AED9A86">
      <w:pPr>
        <w:pStyle w:val="14"/>
        <w:tabs>
          <w:tab w:val="right" w:leader="dot" w:pos="9746"/>
        </w:tabs>
        <w:spacing w:line="360" w:lineRule="auto"/>
        <w:rPr>
          <w:rFonts w:hint="eastAsia" w:ascii="宋体" w:hAnsi="宋体" w:cs="宋体"/>
          <w:sz w:val="32"/>
          <w:szCs w:val="32"/>
        </w:rPr>
      </w:pPr>
      <w:r>
        <w:fldChar w:fldCharType="begin"/>
      </w:r>
      <w:r>
        <w:instrText xml:space="preserve"> HYPERLINK \l "_Toc15771" </w:instrText>
      </w:r>
      <w:r>
        <w:fldChar w:fldCharType="separate"/>
      </w:r>
      <w:r>
        <w:rPr>
          <w:rFonts w:hint="eastAsia" w:ascii="宋体" w:hAnsi="宋体" w:cs="宋体"/>
          <w:sz w:val="32"/>
          <w:szCs w:val="32"/>
          <w:lang w:val="zh-CN"/>
        </w:rPr>
        <w:t>第</w:t>
      </w:r>
      <w:r>
        <w:rPr>
          <w:rFonts w:hint="eastAsia" w:ascii="宋体" w:hAnsi="宋体" w:cs="宋体"/>
          <w:sz w:val="32"/>
          <w:szCs w:val="32"/>
        </w:rPr>
        <w:t>七</w:t>
      </w:r>
      <w:r>
        <w:rPr>
          <w:rFonts w:hint="eastAsia" w:ascii="宋体" w:hAnsi="宋体" w:cs="宋体"/>
          <w:sz w:val="32"/>
          <w:szCs w:val="32"/>
          <w:lang w:val="zh-CN"/>
        </w:rPr>
        <w:t>章  附件</w:t>
      </w:r>
      <w:r>
        <w:rPr>
          <w:rFonts w:hint="eastAsia" w:ascii="宋体" w:hAnsi="宋体" w:cs="宋体"/>
          <w:sz w:val="32"/>
          <w:szCs w:val="32"/>
        </w:rPr>
        <w:tab/>
      </w:r>
      <w:r>
        <w:rPr>
          <w:rFonts w:hint="eastAsia" w:ascii="宋体" w:hAnsi="宋体" w:cs="宋体"/>
          <w:sz w:val="32"/>
          <w:szCs w:val="32"/>
        </w:rPr>
        <w:fldChar w:fldCharType="begin"/>
      </w:r>
      <w:r>
        <w:rPr>
          <w:rFonts w:hint="eastAsia" w:ascii="宋体" w:hAnsi="宋体" w:cs="宋体"/>
          <w:sz w:val="32"/>
          <w:szCs w:val="32"/>
        </w:rPr>
        <w:instrText xml:space="preserve"> PAGEREF _Toc15771 \h </w:instrText>
      </w:r>
      <w:r>
        <w:rPr>
          <w:rFonts w:hint="eastAsia" w:ascii="宋体" w:hAnsi="宋体" w:cs="宋体"/>
          <w:sz w:val="32"/>
          <w:szCs w:val="32"/>
        </w:rPr>
        <w:fldChar w:fldCharType="separate"/>
      </w:r>
      <w:r>
        <w:rPr>
          <w:rFonts w:hint="eastAsia" w:ascii="宋体" w:hAnsi="宋体" w:cs="宋体"/>
          <w:sz w:val="32"/>
          <w:szCs w:val="32"/>
        </w:rPr>
        <w:t>107</w:t>
      </w:r>
      <w:r>
        <w:rPr>
          <w:rFonts w:hint="eastAsia" w:ascii="宋体" w:hAnsi="宋体" w:cs="宋体"/>
          <w:sz w:val="32"/>
          <w:szCs w:val="32"/>
        </w:rPr>
        <w:fldChar w:fldCharType="end"/>
      </w:r>
      <w:r>
        <w:rPr>
          <w:rFonts w:hint="eastAsia" w:ascii="宋体" w:hAnsi="宋体" w:cs="宋体"/>
          <w:sz w:val="32"/>
          <w:szCs w:val="32"/>
        </w:rPr>
        <w:fldChar w:fldCharType="end"/>
      </w:r>
    </w:p>
    <w:p w14:paraId="484DECCF">
      <w:pPr>
        <w:autoSpaceDE w:val="0"/>
        <w:autoSpaceDN w:val="0"/>
        <w:adjustRightInd w:val="0"/>
        <w:spacing w:line="360" w:lineRule="auto"/>
        <w:jc w:val="center"/>
        <w:rPr>
          <w:rFonts w:hint="eastAsia" w:ascii="宋体" w:hAnsi="宋体" w:cs="宋体"/>
          <w:b/>
          <w:color w:val="000000"/>
          <w:sz w:val="56"/>
          <w:szCs w:val="56"/>
          <w:lang w:val="zh-CN"/>
        </w:rPr>
      </w:pPr>
      <w:r>
        <w:rPr>
          <w:rFonts w:hint="eastAsia" w:ascii="宋体" w:hAnsi="宋体" w:cs="宋体"/>
          <w:color w:val="000000"/>
          <w:sz w:val="32"/>
          <w:szCs w:val="32"/>
          <w:lang w:val="zh-CN"/>
        </w:rPr>
        <w:fldChar w:fldCharType="end"/>
      </w:r>
    </w:p>
    <w:p w14:paraId="70828AC7">
      <w:pPr>
        <w:autoSpaceDE w:val="0"/>
        <w:autoSpaceDN w:val="0"/>
        <w:adjustRightInd w:val="0"/>
        <w:jc w:val="center"/>
        <w:rPr>
          <w:rFonts w:hint="eastAsia" w:ascii="宋体" w:hAnsi="宋体" w:cs="宋体"/>
          <w:b/>
          <w:color w:val="000000"/>
          <w:sz w:val="56"/>
          <w:szCs w:val="56"/>
          <w:lang w:val="zh-CN"/>
        </w:rPr>
      </w:pPr>
    </w:p>
    <w:p w14:paraId="5B12DC5E">
      <w:pPr>
        <w:rPr>
          <w:rFonts w:hint="eastAsia" w:ascii="宋体" w:hAnsi="宋体" w:cs="宋体"/>
          <w:color w:val="000000"/>
          <w:szCs w:val="21"/>
        </w:rPr>
      </w:pPr>
    </w:p>
    <w:p w14:paraId="7D9CE786">
      <w:pPr>
        <w:autoSpaceDE w:val="0"/>
        <w:autoSpaceDN w:val="0"/>
        <w:adjustRightInd w:val="0"/>
        <w:ind w:firstLine="422" w:firstLineChars="200"/>
        <w:jc w:val="center"/>
        <w:rPr>
          <w:rFonts w:hint="eastAsia" w:ascii="宋体" w:hAnsi="宋体" w:cs="宋体"/>
          <w:b/>
          <w:color w:val="000000"/>
          <w:szCs w:val="21"/>
          <w:lang w:val="zh-CN"/>
        </w:rPr>
      </w:pPr>
    </w:p>
    <w:p w14:paraId="076AF6AB">
      <w:pPr>
        <w:autoSpaceDE w:val="0"/>
        <w:autoSpaceDN w:val="0"/>
        <w:adjustRightInd w:val="0"/>
        <w:jc w:val="center"/>
        <w:rPr>
          <w:rFonts w:hint="eastAsia" w:ascii="宋体" w:hAnsi="宋体" w:cs="宋体"/>
          <w:b/>
          <w:color w:val="000000"/>
          <w:szCs w:val="21"/>
          <w:lang w:val="zh-CN"/>
        </w:rPr>
      </w:pPr>
    </w:p>
    <w:p w14:paraId="2D85C2AF">
      <w:pPr>
        <w:autoSpaceDE w:val="0"/>
        <w:autoSpaceDN w:val="0"/>
        <w:adjustRightInd w:val="0"/>
        <w:jc w:val="center"/>
        <w:rPr>
          <w:rFonts w:hint="eastAsia" w:ascii="宋体" w:hAnsi="宋体" w:cs="宋体"/>
          <w:b/>
          <w:color w:val="000000"/>
          <w:szCs w:val="21"/>
          <w:lang w:val="zh-CN"/>
        </w:rPr>
      </w:pPr>
    </w:p>
    <w:p w14:paraId="7F8A6EC4">
      <w:pPr>
        <w:autoSpaceDE w:val="0"/>
        <w:autoSpaceDN w:val="0"/>
        <w:adjustRightInd w:val="0"/>
        <w:jc w:val="center"/>
        <w:rPr>
          <w:rFonts w:hint="eastAsia" w:ascii="宋体" w:hAnsi="宋体" w:cs="宋体"/>
          <w:b/>
          <w:color w:val="000000"/>
          <w:szCs w:val="21"/>
          <w:lang w:val="zh-CN"/>
        </w:rPr>
      </w:pPr>
    </w:p>
    <w:p w14:paraId="7CC84212">
      <w:pPr>
        <w:autoSpaceDE w:val="0"/>
        <w:autoSpaceDN w:val="0"/>
        <w:adjustRightInd w:val="0"/>
        <w:jc w:val="center"/>
        <w:rPr>
          <w:rFonts w:hint="eastAsia" w:ascii="宋体" w:hAnsi="宋体" w:cs="宋体"/>
          <w:b/>
          <w:color w:val="000000"/>
          <w:szCs w:val="21"/>
          <w:lang w:val="zh-CN"/>
        </w:rPr>
      </w:pPr>
    </w:p>
    <w:p w14:paraId="299BA9E5">
      <w:pPr>
        <w:autoSpaceDE w:val="0"/>
        <w:autoSpaceDN w:val="0"/>
        <w:adjustRightInd w:val="0"/>
        <w:jc w:val="center"/>
        <w:rPr>
          <w:rFonts w:hint="eastAsia" w:ascii="宋体" w:hAnsi="宋体" w:cs="宋体"/>
          <w:b/>
          <w:color w:val="000000"/>
          <w:szCs w:val="21"/>
          <w:lang w:val="zh-CN"/>
        </w:rPr>
      </w:pPr>
    </w:p>
    <w:p w14:paraId="53D18BAF">
      <w:pPr>
        <w:pStyle w:val="10"/>
        <w:jc w:val="center"/>
        <w:rPr>
          <w:rFonts w:hint="eastAsia" w:hAnsi="宋体" w:cs="宋体"/>
          <w:b/>
          <w:color w:val="000000"/>
          <w:szCs w:val="21"/>
        </w:rPr>
        <w:sectPr>
          <w:headerReference r:id="rId9" w:type="first"/>
          <w:footerReference r:id="rId11" w:type="first"/>
          <w:headerReference r:id="rId8" w:type="default"/>
          <w:footerReference r:id="rId10" w:type="default"/>
          <w:pgSz w:w="11906" w:h="16838"/>
          <w:pgMar w:top="1440" w:right="1080" w:bottom="1440" w:left="1080" w:header="851" w:footer="737" w:gutter="0"/>
          <w:pgNumType w:fmt="numberInDash" w:start="0"/>
          <w:cols w:space="720" w:num="1"/>
          <w:titlePg/>
          <w:docGrid w:type="lines" w:linePitch="490" w:charSpace="0"/>
        </w:sectPr>
      </w:pPr>
    </w:p>
    <w:p w14:paraId="28E89C15">
      <w:pPr>
        <w:pStyle w:val="2"/>
        <w:rPr>
          <w:rFonts w:hint="eastAsia" w:ascii="华文中宋" w:hAnsi="华文中宋" w:eastAsia="华文中宋"/>
          <w:sz w:val="32"/>
          <w:szCs w:val="32"/>
        </w:rPr>
      </w:pPr>
      <w:bookmarkStart w:id="0" w:name="_Toc19486"/>
      <w:bookmarkStart w:id="1" w:name="_Toc359494608"/>
      <w:r>
        <w:rPr>
          <w:rFonts w:hint="eastAsia"/>
          <w:sz w:val="32"/>
          <w:szCs w:val="32"/>
        </w:rPr>
        <w:t>第一章  招标公告</w:t>
      </w:r>
      <w:bookmarkEnd w:id="0"/>
    </w:p>
    <w:p w14:paraId="7EB88D7E">
      <w:pPr>
        <w:pBdr>
          <w:top w:val="single" w:color="auto" w:sz="4" w:space="1"/>
          <w:left w:val="single" w:color="auto" w:sz="4" w:space="4"/>
          <w:bottom w:val="single" w:color="auto" w:sz="4" w:space="1"/>
          <w:right w:val="single" w:color="auto" w:sz="4" w:space="4"/>
        </w:pBdr>
        <w:spacing w:line="360" w:lineRule="auto"/>
        <w:ind w:firstLine="480" w:firstLineChars="200"/>
        <w:rPr>
          <w:rFonts w:hint="eastAsia" w:ascii="宋体" w:hAnsi="宋体" w:cs="宋体"/>
          <w:sz w:val="24"/>
          <w:szCs w:val="24"/>
        </w:rPr>
      </w:pPr>
      <w:r>
        <w:rPr>
          <w:rFonts w:hint="eastAsia" w:ascii="宋体" w:hAnsi="宋体" w:cs="宋体"/>
          <w:sz w:val="24"/>
          <w:szCs w:val="24"/>
        </w:rPr>
        <w:t>项目概况</w:t>
      </w:r>
    </w:p>
    <w:p w14:paraId="09192000">
      <w:pPr>
        <w:pBdr>
          <w:top w:val="single" w:color="auto" w:sz="4" w:space="1"/>
          <w:left w:val="single" w:color="auto" w:sz="4" w:space="4"/>
          <w:bottom w:val="single" w:color="auto" w:sz="4" w:space="1"/>
          <w:right w:val="single" w:color="auto" w:sz="4" w:space="4"/>
        </w:pBdr>
        <w:spacing w:line="360" w:lineRule="auto"/>
        <w:ind w:firstLine="480" w:firstLineChars="200"/>
        <w:rPr>
          <w:rFonts w:hint="eastAsia" w:ascii="宋体" w:hAnsi="宋体" w:cs="宋体"/>
          <w:sz w:val="24"/>
          <w:szCs w:val="24"/>
        </w:rPr>
      </w:pPr>
      <w:r>
        <w:rPr>
          <w:rFonts w:hint="eastAsia" w:ascii="宋体" w:hAnsi="宋体" w:cs="宋体"/>
          <w:sz w:val="24"/>
          <w:szCs w:val="24"/>
        </w:rPr>
        <w:t>新能源汽车综合应用实训室建设项目的潜在投标人应在“政采云”平台（www.zcygov.cn）上自主获取（下载）采购文件，并于</w:t>
      </w:r>
      <w:r>
        <w:rPr>
          <w:rFonts w:hint="eastAsia" w:ascii="宋体" w:hAnsi="宋体" w:cs="宋体"/>
          <w:bCs/>
          <w:color w:val="000000"/>
          <w:sz w:val="24"/>
          <w:szCs w:val="24"/>
          <w:highlight w:val="none"/>
        </w:rPr>
        <w:t>2025年</w:t>
      </w:r>
      <w:r>
        <w:rPr>
          <w:rFonts w:hint="eastAsia" w:ascii="宋体" w:hAnsi="宋体" w:cs="宋体"/>
          <w:bCs/>
          <w:color w:val="000000"/>
          <w:sz w:val="24"/>
          <w:szCs w:val="24"/>
          <w:highlight w:val="none"/>
          <w:lang w:val="en-US" w:eastAsia="zh-CN"/>
        </w:rPr>
        <w:t>5</w:t>
      </w:r>
      <w:r>
        <w:rPr>
          <w:rFonts w:hint="eastAsia" w:ascii="宋体" w:hAnsi="宋体" w:cs="宋体"/>
          <w:bCs/>
          <w:color w:val="000000"/>
          <w:sz w:val="24"/>
          <w:szCs w:val="24"/>
          <w:highlight w:val="none"/>
        </w:rPr>
        <w:t>月</w:t>
      </w:r>
      <w:r>
        <w:rPr>
          <w:rFonts w:hint="eastAsia" w:ascii="宋体" w:hAnsi="宋体" w:cs="宋体"/>
          <w:bCs/>
          <w:color w:val="000000"/>
          <w:sz w:val="24"/>
          <w:szCs w:val="24"/>
          <w:highlight w:val="none"/>
          <w:lang w:val="en-US" w:eastAsia="zh-CN"/>
        </w:rPr>
        <w:t>9</w:t>
      </w:r>
      <w:r>
        <w:rPr>
          <w:rFonts w:hint="eastAsia" w:ascii="宋体" w:hAnsi="宋体" w:cs="宋体"/>
          <w:bCs/>
          <w:color w:val="000000"/>
          <w:sz w:val="24"/>
          <w:szCs w:val="24"/>
          <w:highlight w:val="none"/>
        </w:rPr>
        <w:t>日</w:t>
      </w:r>
      <w:r>
        <w:rPr>
          <w:rFonts w:hint="eastAsia" w:ascii="宋体" w:hAnsi="宋体" w:cs="宋体"/>
          <w:bCs/>
          <w:color w:val="000000"/>
          <w:sz w:val="24"/>
          <w:szCs w:val="24"/>
          <w:highlight w:val="none"/>
          <w:lang w:val="en-US" w:eastAsia="zh-CN"/>
        </w:rPr>
        <w:t>10</w:t>
      </w:r>
      <w:r>
        <w:rPr>
          <w:rFonts w:hint="eastAsia" w:ascii="宋体" w:hAnsi="宋体" w:cs="宋体"/>
          <w:bCs/>
          <w:color w:val="000000"/>
          <w:sz w:val="24"/>
          <w:szCs w:val="24"/>
          <w:highlight w:val="none"/>
        </w:rPr>
        <w:t>时</w:t>
      </w:r>
      <w:r>
        <w:rPr>
          <w:rFonts w:hint="eastAsia" w:ascii="宋体" w:hAnsi="宋体" w:cs="宋体"/>
          <w:bCs/>
          <w:color w:val="000000"/>
          <w:sz w:val="24"/>
          <w:szCs w:val="24"/>
          <w:highlight w:val="none"/>
          <w:lang w:val="en-US" w:eastAsia="zh-CN"/>
        </w:rPr>
        <w:t>0</w:t>
      </w:r>
      <w:r>
        <w:rPr>
          <w:rFonts w:hint="eastAsia" w:ascii="宋体" w:hAnsi="宋体" w:cs="宋体"/>
          <w:bCs/>
          <w:color w:val="000000"/>
          <w:sz w:val="24"/>
          <w:szCs w:val="24"/>
          <w:highlight w:val="none"/>
        </w:rPr>
        <w:t>0分</w:t>
      </w:r>
      <w:bookmarkStart w:id="45" w:name="_GoBack"/>
      <w:bookmarkEnd w:id="45"/>
      <w:r>
        <w:rPr>
          <w:rFonts w:hint="eastAsia" w:ascii="宋体" w:hAnsi="宋体" w:cs="宋体"/>
          <w:sz w:val="24"/>
          <w:szCs w:val="24"/>
        </w:rPr>
        <w:t>（北京时间）前递交（上传）投标文件。</w:t>
      </w:r>
    </w:p>
    <w:p w14:paraId="23ED51FB">
      <w:pPr>
        <w:spacing w:line="360" w:lineRule="auto"/>
        <w:rPr>
          <w:rFonts w:hint="eastAsia" w:ascii="宋体" w:hAnsi="宋体" w:cs="宋体"/>
          <w:sz w:val="24"/>
          <w:szCs w:val="24"/>
        </w:rPr>
      </w:pPr>
      <w:bookmarkStart w:id="2" w:name="_Toc28359002"/>
      <w:bookmarkStart w:id="3" w:name="_Toc28359079"/>
      <w:bookmarkStart w:id="4" w:name="_Hlk24379207"/>
      <w:r>
        <w:rPr>
          <w:rFonts w:hint="eastAsia" w:ascii="宋体" w:hAnsi="宋体" w:cs="宋体"/>
          <w:sz w:val="24"/>
          <w:szCs w:val="24"/>
        </w:rPr>
        <w:t>一、项目基本情况</w:t>
      </w:r>
      <w:bookmarkEnd w:id="2"/>
      <w:bookmarkEnd w:id="3"/>
    </w:p>
    <w:p w14:paraId="626EC394">
      <w:pPr>
        <w:tabs>
          <w:tab w:val="center" w:pos="5233"/>
        </w:tabs>
        <w:spacing w:line="360" w:lineRule="auto"/>
        <w:ind w:firstLine="480" w:firstLineChars="200"/>
        <w:rPr>
          <w:rFonts w:hint="eastAsia" w:ascii="宋体" w:hAnsi="宋体" w:cs="宋体"/>
          <w:sz w:val="24"/>
          <w:szCs w:val="24"/>
        </w:rPr>
      </w:pPr>
      <w:r>
        <w:rPr>
          <w:rFonts w:hint="eastAsia" w:ascii="宋体" w:hAnsi="宋体" w:cs="宋体"/>
          <w:sz w:val="24"/>
          <w:szCs w:val="24"/>
        </w:rPr>
        <w:t>项目编号：</w:t>
      </w:r>
      <w:r>
        <w:fldChar w:fldCharType="begin"/>
      </w:r>
      <w:r>
        <w:instrText xml:space="preserve">HYPERLINK "https://www.zcygov.cn/gaea/api/project/flow/redirect?projectId=7295595741402890312&amp;newUrl=https://www.zcygov.cn/micro-app-back-index/blank?_flow_type_=agency&amp;_flow_projectId_=7295595741402890312&amp;_jump_page_type_=project_procurement_management_flow&amp;_app_=zcy.procurement&amp;oldUrl=https://www.zcygov.cn/project-center/_procurement_/project-result-detail/7295595741402890312" \t "https://www.zcygov.cn/project-center/_procurement_/self-project/_blank"</w:instrText>
      </w:r>
      <w:r>
        <w:fldChar w:fldCharType="separate"/>
      </w:r>
      <w:r>
        <w:rPr>
          <w:rFonts w:hint="eastAsia" w:ascii="宋体" w:hAnsi="宋体" w:cs="宋体"/>
          <w:sz w:val="24"/>
          <w:szCs w:val="24"/>
        </w:rPr>
        <w:t>采购计划-[2025]-01808号-1</w:t>
      </w:r>
      <w:r>
        <w:fldChar w:fldCharType="end"/>
      </w:r>
      <w:r>
        <w:rPr>
          <w:rFonts w:hint="eastAsia" w:ascii="宋体" w:hAnsi="宋体" w:cs="宋体"/>
          <w:sz w:val="24"/>
          <w:szCs w:val="24"/>
        </w:rPr>
        <w:tab/>
      </w:r>
    </w:p>
    <w:p w14:paraId="4E51E3D9">
      <w:pPr>
        <w:spacing w:line="360" w:lineRule="auto"/>
        <w:ind w:firstLine="480" w:firstLineChars="200"/>
        <w:rPr>
          <w:rFonts w:hint="eastAsia" w:ascii="宋体" w:hAnsi="宋体" w:cs="宋体"/>
          <w:sz w:val="24"/>
          <w:szCs w:val="24"/>
        </w:rPr>
      </w:pPr>
      <w:r>
        <w:rPr>
          <w:rFonts w:hint="eastAsia" w:ascii="宋体" w:hAnsi="宋体" w:cs="宋体"/>
          <w:sz w:val="24"/>
          <w:szCs w:val="24"/>
        </w:rPr>
        <w:t>项目名称：</w:t>
      </w:r>
      <w:bookmarkEnd w:id="4"/>
      <w:r>
        <w:rPr>
          <w:rFonts w:hint="eastAsia" w:ascii="宋体" w:hAnsi="宋体" w:cs="宋体"/>
          <w:sz w:val="24"/>
          <w:szCs w:val="24"/>
        </w:rPr>
        <w:t>新能源汽车综合应用实训室建设项目</w:t>
      </w:r>
    </w:p>
    <w:p w14:paraId="369EE8EE">
      <w:pPr>
        <w:spacing w:line="360" w:lineRule="auto"/>
        <w:ind w:firstLine="480" w:firstLineChars="200"/>
        <w:rPr>
          <w:rFonts w:hint="eastAsia" w:ascii="宋体" w:hAnsi="宋体" w:cs="宋体"/>
          <w:sz w:val="24"/>
          <w:szCs w:val="24"/>
        </w:rPr>
      </w:pPr>
      <w:r>
        <w:rPr>
          <w:rFonts w:hint="eastAsia" w:ascii="宋体" w:hAnsi="宋体" w:cs="宋体"/>
          <w:sz w:val="24"/>
          <w:szCs w:val="24"/>
        </w:rPr>
        <w:t>采购方式：公开招标</w:t>
      </w:r>
    </w:p>
    <w:p w14:paraId="095AB7EC">
      <w:pPr>
        <w:spacing w:line="360" w:lineRule="auto"/>
        <w:ind w:firstLine="480" w:firstLineChars="200"/>
        <w:rPr>
          <w:rFonts w:hint="eastAsia" w:ascii="宋体" w:hAnsi="宋体" w:cs="宋体"/>
          <w:sz w:val="24"/>
          <w:szCs w:val="24"/>
        </w:rPr>
      </w:pPr>
      <w:r>
        <w:rPr>
          <w:rFonts w:hint="eastAsia" w:ascii="宋体" w:hAnsi="宋体" w:cs="宋体"/>
          <w:sz w:val="24"/>
          <w:szCs w:val="24"/>
        </w:rPr>
        <w:t>预算金</w:t>
      </w:r>
      <w:r>
        <w:rPr>
          <w:rFonts w:hint="eastAsia" w:ascii="宋体" w:hAnsi="宋体" w:cs="宋体"/>
          <w:color w:val="000000" w:themeColor="text1"/>
          <w:sz w:val="24"/>
          <w:szCs w:val="24"/>
          <w14:textFill>
            <w14:solidFill>
              <w14:schemeClr w14:val="tx1"/>
            </w14:solidFill>
          </w14:textFill>
        </w:rPr>
        <w:t>额：人民币384万元</w:t>
      </w:r>
    </w:p>
    <w:p w14:paraId="784E9AD1">
      <w:pPr>
        <w:spacing w:line="360" w:lineRule="auto"/>
        <w:ind w:firstLine="480" w:firstLineChars="200"/>
        <w:rPr>
          <w:rFonts w:hint="eastAsia" w:ascii="宋体" w:hAnsi="宋体" w:cs="宋体"/>
          <w:sz w:val="24"/>
          <w:szCs w:val="24"/>
        </w:rPr>
      </w:pPr>
      <w:r>
        <w:rPr>
          <w:rFonts w:hint="eastAsia" w:ascii="宋体" w:hAnsi="宋体" w:cs="宋体"/>
          <w:sz w:val="24"/>
          <w:szCs w:val="24"/>
          <w:lang w:val="zh-CN"/>
        </w:rPr>
        <w:t>最高限价：</w:t>
      </w:r>
      <w:r>
        <w:rPr>
          <w:rFonts w:hint="eastAsia" w:ascii="宋体" w:hAnsi="宋体" w:cs="宋体"/>
          <w:color w:val="000000" w:themeColor="text1"/>
          <w:sz w:val="24"/>
          <w:szCs w:val="24"/>
          <w14:textFill>
            <w14:solidFill>
              <w14:schemeClr w14:val="tx1"/>
            </w14:solidFill>
          </w14:textFill>
        </w:rPr>
        <w:t>人民币384万元</w:t>
      </w:r>
      <w:r>
        <w:rPr>
          <w:rFonts w:hint="eastAsia" w:ascii="宋体" w:hAnsi="宋体" w:cs="宋体"/>
          <w:sz w:val="24"/>
          <w:szCs w:val="24"/>
        </w:rPr>
        <w:t>（投标报价超出最高限价视为废标）</w:t>
      </w:r>
    </w:p>
    <w:p w14:paraId="7A964C11">
      <w:pPr>
        <w:spacing w:line="360" w:lineRule="auto"/>
        <w:ind w:firstLine="480" w:firstLineChars="200"/>
        <w:rPr>
          <w:rFonts w:hint="eastAsia" w:ascii="宋体" w:hAnsi="宋体" w:cs="宋体"/>
          <w:sz w:val="24"/>
          <w:szCs w:val="24"/>
        </w:rPr>
      </w:pPr>
      <w:r>
        <w:rPr>
          <w:rFonts w:hint="eastAsia" w:ascii="宋体" w:hAnsi="宋体" w:cs="宋体"/>
          <w:sz w:val="24"/>
          <w:szCs w:val="24"/>
        </w:rPr>
        <w:t>采购需求：新能源汽车实训设备等</w:t>
      </w:r>
      <w:r>
        <w:rPr>
          <w:rFonts w:hint="eastAsia" w:ascii="宋体" w:hAnsi="宋体" w:cs="宋体"/>
          <w:sz w:val="24"/>
          <w:szCs w:val="24"/>
          <w:lang w:val="zh-CN"/>
        </w:rPr>
        <w:t>，</w:t>
      </w:r>
      <w:r>
        <w:rPr>
          <w:rFonts w:hint="eastAsia" w:ascii="宋体" w:hAnsi="宋体" w:cs="宋体"/>
          <w:sz w:val="24"/>
          <w:szCs w:val="24"/>
        </w:rPr>
        <w:t>具体</w:t>
      </w:r>
      <w:r>
        <w:rPr>
          <w:rFonts w:hint="eastAsia" w:ascii="宋体" w:hAnsi="宋体" w:cs="宋体"/>
          <w:sz w:val="24"/>
          <w:szCs w:val="24"/>
          <w:lang w:val="zh-CN"/>
        </w:rPr>
        <w:t>详见招标文件</w:t>
      </w:r>
    </w:p>
    <w:p w14:paraId="72F12A06">
      <w:pPr>
        <w:spacing w:line="360" w:lineRule="auto"/>
        <w:ind w:firstLine="480" w:firstLineChars="200"/>
        <w:rPr>
          <w:rFonts w:hint="eastAsia" w:ascii="宋体" w:hAnsi="宋体" w:cs="宋体"/>
          <w:color w:val="FF0000"/>
          <w:sz w:val="24"/>
          <w:szCs w:val="24"/>
        </w:rPr>
      </w:pPr>
      <w:r>
        <w:rPr>
          <w:rFonts w:hint="eastAsia" w:ascii="宋体" w:hAnsi="宋体" w:cs="宋体"/>
          <w:color w:val="000000"/>
          <w:sz w:val="24"/>
          <w:szCs w:val="24"/>
        </w:rPr>
        <w:t>合同履行</w:t>
      </w:r>
      <w:r>
        <w:rPr>
          <w:rFonts w:hint="eastAsia" w:ascii="宋体" w:hAnsi="宋体" w:cs="宋体"/>
          <w:sz w:val="24"/>
          <w:szCs w:val="24"/>
        </w:rPr>
        <w:t>期限（供货时间）：合同订立后45天</w:t>
      </w:r>
    </w:p>
    <w:p w14:paraId="28E62024">
      <w:pPr>
        <w:spacing w:line="360" w:lineRule="auto"/>
        <w:ind w:firstLine="480" w:firstLineChars="200"/>
        <w:rPr>
          <w:rFonts w:hint="eastAsia" w:ascii="宋体" w:hAnsi="宋体" w:cs="宋体"/>
          <w:sz w:val="24"/>
          <w:szCs w:val="24"/>
        </w:rPr>
      </w:pPr>
      <w:r>
        <w:rPr>
          <w:rFonts w:hint="eastAsia" w:ascii="宋体" w:hAnsi="宋体" w:cs="宋体"/>
          <w:sz w:val="24"/>
          <w:szCs w:val="24"/>
        </w:rPr>
        <w:t>本项目不接受联合体投标。</w:t>
      </w:r>
    </w:p>
    <w:p w14:paraId="1F6BD794">
      <w:pPr>
        <w:spacing w:line="360" w:lineRule="auto"/>
        <w:rPr>
          <w:rFonts w:hint="eastAsia" w:ascii="宋体" w:hAnsi="宋体" w:cs="宋体"/>
          <w:sz w:val="24"/>
          <w:szCs w:val="24"/>
        </w:rPr>
      </w:pPr>
      <w:bookmarkStart w:id="5" w:name="_Toc28359080"/>
      <w:bookmarkStart w:id="6" w:name="_Toc28359003"/>
      <w:r>
        <w:rPr>
          <w:rFonts w:hint="eastAsia" w:ascii="宋体" w:hAnsi="宋体" w:cs="宋体"/>
          <w:sz w:val="24"/>
          <w:szCs w:val="24"/>
        </w:rPr>
        <w:t>二、申请人的资格要求：</w:t>
      </w:r>
      <w:bookmarkEnd w:id="5"/>
      <w:bookmarkEnd w:id="6"/>
    </w:p>
    <w:p w14:paraId="0739FBB8">
      <w:pPr>
        <w:spacing w:line="360" w:lineRule="auto"/>
        <w:ind w:firstLine="480" w:firstLineChars="200"/>
        <w:rPr>
          <w:rFonts w:hint="eastAsia" w:ascii="宋体" w:hAnsi="宋体" w:cs="宋体"/>
          <w:sz w:val="24"/>
          <w:szCs w:val="24"/>
        </w:rPr>
      </w:pPr>
      <w:r>
        <w:rPr>
          <w:rFonts w:hint="eastAsia" w:ascii="宋体" w:hAnsi="宋体" w:cs="宋体"/>
          <w:sz w:val="24"/>
          <w:szCs w:val="24"/>
        </w:rPr>
        <w:t>1、满足《中华人民共和国政府采购法》第二十二条规定</w:t>
      </w:r>
    </w:p>
    <w:p w14:paraId="567A8919">
      <w:pPr>
        <w:spacing w:line="360" w:lineRule="auto"/>
        <w:ind w:firstLine="480" w:firstLineChars="200"/>
        <w:rPr>
          <w:rFonts w:hint="eastAsia" w:ascii="宋体" w:hAnsi="宋体" w:cs="宋体"/>
          <w:sz w:val="24"/>
          <w:szCs w:val="24"/>
          <w:u w:val="single"/>
        </w:rPr>
      </w:pPr>
      <w:r>
        <w:rPr>
          <w:rFonts w:hint="eastAsia" w:ascii="宋体" w:hAnsi="宋体" w:cs="宋体"/>
          <w:sz w:val="24"/>
          <w:szCs w:val="24"/>
        </w:rPr>
        <w:t>2、落实政府采购政策需满足的资格要求：本项目专门面向中小企业采购，详见招标文件。</w:t>
      </w:r>
    </w:p>
    <w:p w14:paraId="35EA7A52">
      <w:pPr>
        <w:spacing w:line="360" w:lineRule="auto"/>
        <w:ind w:firstLine="480" w:firstLineChars="200"/>
        <w:rPr>
          <w:rFonts w:hint="eastAsia" w:ascii="宋体" w:hAnsi="宋体" w:cs="宋体"/>
          <w:sz w:val="24"/>
          <w:szCs w:val="24"/>
          <w:u w:val="single"/>
        </w:rPr>
      </w:pPr>
      <w:r>
        <w:rPr>
          <w:rFonts w:hint="eastAsia" w:ascii="宋体" w:hAnsi="宋体" w:cs="宋体"/>
          <w:sz w:val="24"/>
          <w:szCs w:val="24"/>
        </w:rPr>
        <w:t>3、本项目的特定资格要求：</w:t>
      </w:r>
    </w:p>
    <w:p w14:paraId="7F636763">
      <w:pPr>
        <w:spacing w:line="360" w:lineRule="auto"/>
        <w:ind w:firstLine="480" w:firstLineChars="200"/>
        <w:rPr>
          <w:rFonts w:hint="eastAsia" w:ascii="宋体" w:hAnsi="宋体" w:cs="宋体"/>
          <w:sz w:val="24"/>
          <w:szCs w:val="24"/>
        </w:rPr>
      </w:pPr>
      <w:r>
        <w:rPr>
          <w:rFonts w:hint="eastAsia" w:ascii="宋体" w:hAnsi="宋体" w:cs="宋体"/>
          <w:sz w:val="24"/>
          <w:szCs w:val="24"/>
        </w:rPr>
        <w:t>3.1投标人须是在中华人民共和国境内注册，能够独立承担民事责任的法人或其他组织形式；</w:t>
      </w:r>
    </w:p>
    <w:p w14:paraId="23824BBC">
      <w:pPr>
        <w:spacing w:line="360" w:lineRule="auto"/>
        <w:ind w:firstLine="480" w:firstLineChars="200"/>
        <w:rPr>
          <w:rFonts w:hint="eastAsia" w:ascii="宋体" w:hAnsi="宋体" w:cs="宋体"/>
          <w:sz w:val="24"/>
          <w:szCs w:val="24"/>
        </w:rPr>
      </w:pPr>
      <w:r>
        <w:rPr>
          <w:rFonts w:hint="eastAsia" w:ascii="宋体" w:hAnsi="宋体" w:cs="宋体"/>
          <w:sz w:val="24"/>
          <w:szCs w:val="24"/>
        </w:rPr>
        <w:t>3.2具有良好的商业信誉和健全的财务</w:t>
      </w:r>
      <w:r>
        <w:fldChar w:fldCharType="begin"/>
      </w:r>
      <w:r>
        <w:instrText xml:space="preserve">HYPERLINK "https://baike.so.com/doc/388251-411081.html" \t "_blank"</w:instrText>
      </w:r>
      <w:r>
        <w:fldChar w:fldCharType="separate"/>
      </w:r>
      <w:r>
        <w:rPr>
          <w:rFonts w:hint="eastAsia" w:ascii="宋体" w:hAnsi="宋体" w:cs="宋体"/>
          <w:sz w:val="24"/>
          <w:szCs w:val="24"/>
        </w:rPr>
        <w:t>会计制度</w:t>
      </w:r>
      <w:r>
        <w:fldChar w:fldCharType="end"/>
      </w:r>
      <w:r>
        <w:rPr>
          <w:rFonts w:hint="eastAsia" w:ascii="宋体" w:hAnsi="宋体" w:cs="宋体"/>
          <w:sz w:val="24"/>
          <w:szCs w:val="24"/>
        </w:rPr>
        <w:t>，提供经第三方会计师事务所审计的2023年完整有效的企业财务审计报告或提供其基本开户银行在投标截止日前，六个月内出具的资信证明（银行出具的存款证明不能替代银行资信证明）；</w:t>
      </w:r>
    </w:p>
    <w:p w14:paraId="58A02E0F">
      <w:pPr>
        <w:spacing w:line="360" w:lineRule="auto"/>
        <w:ind w:firstLine="480" w:firstLineChars="200"/>
        <w:rPr>
          <w:rFonts w:hint="eastAsia" w:ascii="宋体" w:hAnsi="宋体" w:cs="宋体"/>
          <w:sz w:val="24"/>
          <w:szCs w:val="24"/>
        </w:rPr>
      </w:pPr>
      <w:r>
        <w:rPr>
          <w:rFonts w:hint="eastAsia" w:ascii="宋体" w:hAnsi="宋体" w:cs="宋体"/>
          <w:sz w:val="24"/>
          <w:szCs w:val="24"/>
        </w:rPr>
        <w:t>3.3具有履行合同所必需的设备和专业技术能力；</w:t>
      </w:r>
    </w:p>
    <w:p w14:paraId="1413C939">
      <w:pPr>
        <w:spacing w:line="360" w:lineRule="auto"/>
        <w:ind w:firstLine="480" w:firstLineChars="200"/>
        <w:rPr>
          <w:rFonts w:hint="eastAsia" w:ascii="宋体" w:hAnsi="宋体" w:cs="宋体"/>
          <w:sz w:val="24"/>
          <w:szCs w:val="24"/>
        </w:rPr>
      </w:pPr>
      <w:r>
        <w:rPr>
          <w:rFonts w:hint="eastAsia" w:ascii="宋体" w:hAnsi="宋体" w:cs="宋体"/>
          <w:sz w:val="24"/>
          <w:szCs w:val="24"/>
        </w:rPr>
        <w:t>3.4依法缴纳税收的良好记录，提供投标截止日前，一年内任一月份的缴税凭据或完税证明等；依法免税的，应提供相应文件证明其依法免税；</w:t>
      </w:r>
    </w:p>
    <w:p w14:paraId="561B4607">
      <w:pPr>
        <w:spacing w:line="360" w:lineRule="auto"/>
        <w:ind w:firstLine="480" w:firstLineChars="200"/>
        <w:rPr>
          <w:rFonts w:hint="eastAsia" w:ascii="宋体" w:hAnsi="宋体" w:cs="宋体"/>
          <w:sz w:val="24"/>
          <w:szCs w:val="24"/>
        </w:rPr>
      </w:pPr>
      <w:r>
        <w:rPr>
          <w:rFonts w:hint="eastAsia" w:ascii="宋体" w:hAnsi="宋体" w:cs="宋体"/>
          <w:sz w:val="24"/>
          <w:szCs w:val="24"/>
        </w:rPr>
        <w:t>3.5依法缴纳社会保障资金的良好记录，提供投标截止日前，一年内任一月份缴纳社会保险的凭据；依法不需要缴纳社会保险的，应提供相应文件证明其依法不需要缴纳社会保险；</w:t>
      </w:r>
    </w:p>
    <w:p w14:paraId="6F5A6ED4">
      <w:pPr>
        <w:spacing w:line="360" w:lineRule="auto"/>
        <w:ind w:firstLine="480" w:firstLineChars="200"/>
        <w:rPr>
          <w:rFonts w:hint="eastAsia" w:ascii="宋体" w:hAnsi="宋体" w:cs="宋体"/>
          <w:sz w:val="24"/>
          <w:szCs w:val="24"/>
        </w:rPr>
      </w:pPr>
      <w:r>
        <w:rPr>
          <w:rFonts w:hint="eastAsia" w:ascii="宋体" w:hAnsi="宋体" w:cs="宋体"/>
          <w:sz w:val="24"/>
          <w:szCs w:val="24"/>
        </w:rPr>
        <w:t>3.6参加政府采购活动前三年内，在经营活动中没有重大违法记录；</w:t>
      </w:r>
    </w:p>
    <w:p w14:paraId="7B5AB79E">
      <w:pPr>
        <w:spacing w:line="360" w:lineRule="auto"/>
        <w:ind w:firstLine="480" w:firstLineChars="200"/>
        <w:rPr>
          <w:rFonts w:hint="eastAsia" w:ascii="宋体" w:hAnsi="宋体" w:cs="宋体"/>
          <w:sz w:val="24"/>
          <w:szCs w:val="24"/>
        </w:rPr>
      </w:pPr>
      <w:r>
        <w:rPr>
          <w:rFonts w:hint="eastAsia" w:ascii="宋体" w:hAnsi="宋体" w:cs="宋体"/>
          <w:sz w:val="24"/>
          <w:szCs w:val="24"/>
        </w:rPr>
        <w:t>3.7拒绝列入政府取消投标资格记录期间的企业或个人投标；</w:t>
      </w:r>
    </w:p>
    <w:p w14:paraId="62432B4C">
      <w:pPr>
        <w:spacing w:line="360" w:lineRule="auto"/>
        <w:ind w:firstLine="480" w:firstLineChars="200"/>
        <w:rPr>
          <w:rFonts w:hint="eastAsia" w:ascii="宋体" w:hAnsi="宋体" w:cs="宋体"/>
          <w:sz w:val="24"/>
          <w:szCs w:val="24"/>
        </w:rPr>
      </w:pPr>
      <w:r>
        <w:rPr>
          <w:rFonts w:hint="eastAsia" w:ascii="宋体" w:hAnsi="宋体" w:cs="宋体"/>
          <w:sz w:val="24"/>
          <w:szCs w:val="24"/>
        </w:rPr>
        <w:t>3.8投标人不能列入失信被执行人、重大税收违法失信主体、政府采购严重违法失信行为记录名单，查询请依据财库【2016】125号文件。</w:t>
      </w:r>
    </w:p>
    <w:p w14:paraId="45E0E909">
      <w:pPr>
        <w:spacing w:line="360" w:lineRule="auto"/>
        <w:ind w:firstLine="480" w:firstLineChars="200"/>
        <w:rPr>
          <w:rFonts w:hint="eastAsia" w:ascii="宋体" w:hAnsi="宋体" w:cs="宋体"/>
          <w:sz w:val="24"/>
          <w:szCs w:val="24"/>
        </w:rPr>
      </w:pPr>
      <w:r>
        <w:rPr>
          <w:rFonts w:hint="eastAsia" w:ascii="宋体" w:hAnsi="宋体" w:cs="宋体"/>
          <w:sz w:val="24"/>
          <w:szCs w:val="24"/>
        </w:rPr>
        <w:t>3.9与采购人存在利害关系可能影响招标公正性的法人、其他组织或者个人，不得参加投标。单位负责人为同一人或者存在控股、管理关系的不同单位，不得参加同一标段投标或者未划分标段的同一招标项目投标。违反这两款规定的，相关投标应当被否决。</w:t>
      </w:r>
    </w:p>
    <w:p w14:paraId="6058E3B9">
      <w:pPr>
        <w:spacing w:line="360" w:lineRule="auto"/>
        <w:rPr>
          <w:rFonts w:hint="eastAsia" w:ascii="宋体" w:hAnsi="宋体" w:cs="宋体"/>
          <w:sz w:val="24"/>
          <w:szCs w:val="24"/>
        </w:rPr>
      </w:pPr>
      <w:r>
        <w:rPr>
          <w:rFonts w:hint="eastAsia" w:ascii="宋体" w:hAnsi="宋体" w:cs="宋体"/>
          <w:sz w:val="24"/>
          <w:szCs w:val="24"/>
        </w:rPr>
        <w:t>三、获取招标文件：</w:t>
      </w:r>
    </w:p>
    <w:p w14:paraId="4D2507CC">
      <w:pPr>
        <w:spacing w:line="360" w:lineRule="auto"/>
        <w:ind w:firstLine="480" w:firstLineChars="200"/>
        <w:rPr>
          <w:rFonts w:hint="eastAsia" w:ascii="宋体" w:hAnsi="宋体" w:cs="宋体"/>
          <w:sz w:val="24"/>
          <w:szCs w:val="24"/>
          <w:u w:val="single"/>
        </w:rPr>
      </w:pPr>
      <w:r>
        <w:rPr>
          <w:rFonts w:hint="eastAsia" w:ascii="宋体" w:hAnsi="宋体" w:cs="宋体"/>
          <w:sz w:val="24"/>
          <w:szCs w:val="24"/>
        </w:rPr>
        <w:t>时间：2025年3月31日至2025年4月8日，每天00时至23时59分（北京时间）</w:t>
      </w:r>
    </w:p>
    <w:p w14:paraId="20A903EA">
      <w:pPr>
        <w:spacing w:line="360" w:lineRule="auto"/>
        <w:ind w:firstLine="480" w:firstLineChars="200"/>
        <w:rPr>
          <w:rFonts w:hint="eastAsia" w:ascii="宋体" w:hAnsi="宋体" w:cs="宋体"/>
          <w:sz w:val="24"/>
          <w:szCs w:val="24"/>
        </w:rPr>
      </w:pPr>
      <w:r>
        <w:rPr>
          <w:rFonts w:hint="eastAsia" w:ascii="宋体" w:hAnsi="宋体" w:cs="宋体"/>
          <w:sz w:val="24"/>
          <w:szCs w:val="24"/>
        </w:rPr>
        <w:t>地点：供应商登录“政采云”平台（https://www.zcygov.cn/）在线申请获取采购文件</w:t>
      </w:r>
    </w:p>
    <w:p w14:paraId="0F07E394">
      <w:pPr>
        <w:spacing w:line="360" w:lineRule="auto"/>
        <w:ind w:firstLine="480" w:firstLineChars="200"/>
        <w:rPr>
          <w:rFonts w:hint="eastAsia" w:ascii="宋体" w:hAnsi="宋体" w:cs="宋体"/>
          <w:sz w:val="24"/>
          <w:szCs w:val="24"/>
        </w:rPr>
      </w:pPr>
      <w:r>
        <w:rPr>
          <w:rFonts w:hint="eastAsia" w:ascii="宋体" w:hAnsi="宋体" w:cs="宋体"/>
          <w:sz w:val="24"/>
          <w:szCs w:val="24"/>
        </w:rPr>
        <w:t>方式：本次采购实行电子化采购，供应商自行登录政府采购云平台，网上注册并下载采购文件(https://middle.zcygov.cn/v-settle-front/registry)。操作路径：登录政府采购云平台-项目采购-获取采购文件-本次采购项目-申请获取采购文件。电子响应文件制作应基于政府采购云平台获取的采购文件编制，其他途径获取的采购文件一律按无效处理。</w:t>
      </w:r>
    </w:p>
    <w:p w14:paraId="3CB267C1">
      <w:pPr>
        <w:spacing w:line="360" w:lineRule="auto"/>
        <w:ind w:firstLine="480" w:firstLineChars="200"/>
        <w:rPr>
          <w:rFonts w:hint="eastAsia" w:ascii="宋体" w:hAnsi="宋体" w:cs="宋体"/>
          <w:sz w:val="24"/>
          <w:szCs w:val="24"/>
        </w:rPr>
      </w:pPr>
      <w:r>
        <w:rPr>
          <w:rFonts w:hint="eastAsia" w:ascii="宋体" w:hAnsi="宋体" w:cs="宋体"/>
          <w:sz w:val="24"/>
          <w:szCs w:val="24"/>
        </w:rPr>
        <w:t>售价：0元/份</w:t>
      </w:r>
    </w:p>
    <w:p w14:paraId="2343196D">
      <w:pPr>
        <w:spacing w:line="360" w:lineRule="auto"/>
        <w:rPr>
          <w:rFonts w:hint="eastAsia" w:ascii="宋体" w:hAnsi="宋体" w:cs="宋体"/>
          <w:sz w:val="24"/>
          <w:szCs w:val="24"/>
        </w:rPr>
      </w:pPr>
      <w:bookmarkStart w:id="7" w:name="_Toc28359082"/>
      <w:bookmarkStart w:id="8" w:name="_Toc28359005"/>
      <w:r>
        <w:rPr>
          <w:rFonts w:hint="eastAsia" w:ascii="宋体" w:hAnsi="宋体" w:cs="宋体"/>
          <w:sz w:val="24"/>
          <w:szCs w:val="24"/>
        </w:rPr>
        <w:t>四、提交投标文件</w:t>
      </w:r>
      <w:bookmarkEnd w:id="7"/>
      <w:bookmarkEnd w:id="8"/>
      <w:r>
        <w:rPr>
          <w:rFonts w:hint="eastAsia" w:ascii="宋体" w:hAnsi="宋体" w:cs="宋体"/>
          <w:sz w:val="24"/>
          <w:szCs w:val="24"/>
        </w:rPr>
        <w:t>截止时间、开标时间和地点</w:t>
      </w:r>
    </w:p>
    <w:p w14:paraId="60333AEB">
      <w:pPr>
        <w:spacing w:line="360" w:lineRule="auto"/>
        <w:ind w:firstLine="480" w:firstLineChars="200"/>
        <w:rPr>
          <w:rFonts w:hint="eastAsia" w:ascii="宋体" w:hAnsi="宋体" w:cs="宋体"/>
          <w:sz w:val="24"/>
          <w:szCs w:val="24"/>
        </w:rPr>
      </w:pPr>
      <w:r>
        <w:rPr>
          <w:rFonts w:hint="eastAsia" w:ascii="宋体" w:hAnsi="宋体" w:cs="宋体"/>
          <w:sz w:val="24"/>
          <w:szCs w:val="24"/>
        </w:rPr>
        <w:t>时间：</w:t>
      </w:r>
      <w:r>
        <w:rPr>
          <w:rFonts w:hint="eastAsia" w:ascii="宋体" w:hAnsi="宋体" w:cs="宋体"/>
          <w:bCs/>
          <w:color w:val="000000"/>
          <w:sz w:val="24"/>
          <w:szCs w:val="24"/>
          <w:highlight w:val="none"/>
        </w:rPr>
        <w:t>2025年</w:t>
      </w:r>
      <w:r>
        <w:rPr>
          <w:rFonts w:hint="eastAsia" w:ascii="宋体" w:hAnsi="宋体" w:cs="宋体"/>
          <w:bCs/>
          <w:color w:val="000000"/>
          <w:sz w:val="24"/>
          <w:szCs w:val="24"/>
          <w:highlight w:val="none"/>
          <w:lang w:val="en-US" w:eastAsia="zh-CN"/>
        </w:rPr>
        <w:t>5</w:t>
      </w:r>
      <w:r>
        <w:rPr>
          <w:rFonts w:hint="eastAsia" w:ascii="宋体" w:hAnsi="宋体" w:cs="宋体"/>
          <w:bCs/>
          <w:color w:val="000000"/>
          <w:sz w:val="24"/>
          <w:szCs w:val="24"/>
          <w:highlight w:val="none"/>
        </w:rPr>
        <w:t>月</w:t>
      </w:r>
      <w:r>
        <w:rPr>
          <w:rFonts w:hint="eastAsia" w:ascii="宋体" w:hAnsi="宋体" w:cs="宋体"/>
          <w:bCs/>
          <w:color w:val="000000"/>
          <w:sz w:val="24"/>
          <w:szCs w:val="24"/>
          <w:highlight w:val="none"/>
          <w:lang w:val="en-US" w:eastAsia="zh-CN"/>
        </w:rPr>
        <w:t>9</w:t>
      </w:r>
      <w:r>
        <w:rPr>
          <w:rFonts w:hint="eastAsia" w:ascii="宋体" w:hAnsi="宋体" w:cs="宋体"/>
          <w:bCs/>
          <w:color w:val="000000"/>
          <w:sz w:val="24"/>
          <w:szCs w:val="24"/>
          <w:highlight w:val="none"/>
        </w:rPr>
        <w:t>日</w:t>
      </w:r>
      <w:r>
        <w:rPr>
          <w:rFonts w:hint="eastAsia" w:ascii="宋体" w:hAnsi="宋体" w:cs="宋体"/>
          <w:bCs/>
          <w:color w:val="000000"/>
          <w:sz w:val="24"/>
          <w:szCs w:val="24"/>
          <w:highlight w:val="none"/>
          <w:lang w:val="en-US" w:eastAsia="zh-CN"/>
        </w:rPr>
        <w:t>10</w:t>
      </w:r>
      <w:r>
        <w:rPr>
          <w:rFonts w:hint="eastAsia" w:ascii="宋体" w:hAnsi="宋体" w:cs="宋体"/>
          <w:bCs/>
          <w:color w:val="000000"/>
          <w:sz w:val="24"/>
          <w:szCs w:val="24"/>
          <w:highlight w:val="none"/>
        </w:rPr>
        <w:t>时</w:t>
      </w:r>
      <w:r>
        <w:rPr>
          <w:rFonts w:hint="eastAsia" w:ascii="宋体" w:hAnsi="宋体" w:cs="宋体"/>
          <w:bCs/>
          <w:color w:val="000000"/>
          <w:sz w:val="24"/>
          <w:szCs w:val="24"/>
          <w:highlight w:val="none"/>
          <w:lang w:val="en-US" w:eastAsia="zh-CN"/>
        </w:rPr>
        <w:t>0</w:t>
      </w:r>
      <w:r>
        <w:rPr>
          <w:rFonts w:hint="eastAsia" w:ascii="宋体" w:hAnsi="宋体" w:cs="宋体"/>
          <w:bCs/>
          <w:color w:val="000000"/>
          <w:sz w:val="24"/>
          <w:szCs w:val="24"/>
          <w:highlight w:val="none"/>
        </w:rPr>
        <w:t>0分</w:t>
      </w:r>
      <w:r>
        <w:rPr>
          <w:rFonts w:hint="eastAsia" w:ascii="宋体" w:hAnsi="宋体" w:cs="宋体"/>
          <w:sz w:val="24"/>
          <w:szCs w:val="24"/>
        </w:rPr>
        <w:t>（北京时间）</w:t>
      </w:r>
    </w:p>
    <w:p w14:paraId="28683EC9">
      <w:pPr>
        <w:spacing w:line="360" w:lineRule="auto"/>
        <w:ind w:firstLine="480" w:firstLineChars="200"/>
        <w:rPr>
          <w:rFonts w:hint="eastAsia" w:ascii="宋体" w:hAnsi="宋体" w:cs="宋体"/>
          <w:sz w:val="24"/>
          <w:szCs w:val="24"/>
          <w:highlight w:val="cyan"/>
        </w:rPr>
      </w:pPr>
      <w:r>
        <w:rPr>
          <w:rFonts w:hint="eastAsia" w:ascii="宋体" w:hAnsi="宋体" w:cs="宋体"/>
          <w:sz w:val="24"/>
          <w:szCs w:val="24"/>
        </w:rPr>
        <w:t>地点：长春市二道区洋浦大街6999号凯利中心AB栋一楼开标2室（长春市同晟科技有限公司）</w:t>
      </w:r>
    </w:p>
    <w:p w14:paraId="423D70B3">
      <w:pPr>
        <w:spacing w:line="360" w:lineRule="auto"/>
        <w:ind w:firstLine="480" w:firstLineChars="200"/>
        <w:rPr>
          <w:rFonts w:hint="eastAsia" w:ascii="宋体" w:hAnsi="宋体" w:cs="宋体"/>
          <w:sz w:val="24"/>
          <w:szCs w:val="24"/>
          <w:lang w:val="zh-CN"/>
        </w:rPr>
      </w:pPr>
      <w:r>
        <w:rPr>
          <w:rFonts w:hint="eastAsia" w:ascii="宋体" w:hAnsi="宋体" w:cs="宋体"/>
          <w:sz w:val="24"/>
          <w:szCs w:val="24"/>
          <w:lang w:val="zh-CN"/>
        </w:rPr>
        <w:t>提交方式</w:t>
      </w:r>
      <w:r>
        <w:rPr>
          <w:rFonts w:hint="eastAsia" w:ascii="宋体" w:hAnsi="宋体" w:cs="宋体"/>
          <w:sz w:val="24"/>
          <w:szCs w:val="24"/>
        </w:rPr>
        <w:t>：</w:t>
      </w:r>
      <w:r>
        <w:rPr>
          <w:rFonts w:hint="eastAsia" w:ascii="宋体" w:hAnsi="宋体" w:cs="宋体"/>
          <w:sz w:val="24"/>
          <w:szCs w:val="24"/>
          <w:lang w:val="zh-CN"/>
        </w:rPr>
        <w:t>本项目为全流程电子化项目</w:t>
      </w:r>
      <w:r>
        <w:rPr>
          <w:rFonts w:hint="eastAsia" w:ascii="宋体" w:hAnsi="宋体" w:cs="宋体"/>
          <w:sz w:val="24"/>
          <w:szCs w:val="24"/>
        </w:rPr>
        <w:t>，</w:t>
      </w:r>
      <w:r>
        <w:rPr>
          <w:rFonts w:hint="eastAsia" w:ascii="宋体" w:hAnsi="宋体" w:cs="宋体"/>
          <w:sz w:val="24"/>
          <w:szCs w:val="24"/>
          <w:lang w:val="zh-CN"/>
        </w:rPr>
        <w:t>通过</w:t>
      </w:r>
      <w:r>
        <w:rPr>
          <w:rFonts w:hint="eastAsia" w:ascii="宋体" w:hAnsi="宋体" w:cs="宋体"/>
          <w:sz w:val="24"/>
          <w:szCs w:val="24"/>
        </w:rPr>
        <w:t>“</w:t>
      </w:r>
      <w:r>
        <w:rPr>
          <w:rFonts w:hint="eastAsia" w:ascii="宋体" w:hAnsi="宋体" w:cs="宋体"/>
          <w:sz w:val="24"/>
          <w:szCs w:val="24"/>
          <w:lang w:val="zh-CN"/>
        </w:rPr>
        <w:t>政采云</w:t>
      </w:r>
      <w:r>
        <w:rPr>
          <w:rFonts w:hint="eastAsia" w:ascii="宋体" w:hAnsi="宋体" w:cs="宋体"/>
          <w:sz w:val="24"/>
          <w:szCs w:val="24"/>
        </w:rPr>
        <w:t>”</w:t>
      </w:r>
      <w:r>
        <w:rPr>
          <w:rFonts w:hint="eastAsia" w:ascii="宋体" w:hAnsi="宋体" w:cs="宋体"/>
          <w:sz w:val="24"/>
          <w:szCs w:val="24"/>
          <w:lang w:val="zh-CN"/>
        </w:rPr>
        <w:t>平台</w:t>
      </w:r>
      <w:r>
        <w:rPr>
          <w:rFonts w:hint="eastAsia" w:ascii="宋体" w:hAnsi="宋体" w:cs="宋体"/>
          <w:sz w:val="24"/>
          <w:szCs w:val="24"/>
        </w:rPr>
        <w:t>（http：//www.zcygov.cn）</w:t>
      </w:r>
      <w:r>
        <w:rPr>
          <w:rFonts w:hint="eastAsia" w:ascii="宋体" w:hAnsi="宋体" w:cs="宋体"/>
          <w:sz w:val="24"/>
          <w:szCs w:val="24"/>
          <w:lang w:val="zh-CN"/>
        </w:rPr>
        <w:t>实行在线电子投标</w:t>
      </w:r>
      <w:r>
        <w:rPr>
          <w:rFonts w:hint="eastAsia" w:ascii="宋体" w:hAnsi="宋体" w:cs="宋体"/>
          <w:sz w:val="24"/>
          <w:szCs w:val="24"/>
        </w:rPr>
        <w:t>，</w:t>
      </w:r>
      <w:r>
        <w:rPr>
          <w:rFonts w:hint="eastAsia" w:ascii="宋体" w:hAnsi="宋体" w:cs="宋体"/>
          <w:sz w:val="24"/>
          <w:szCs w:val="24"/>
          <w:lang w:val="zh-CN"/>
        </w:rPr>
        <w:t>投标人应先安装</w:t>
      </w:r>
      <w:r>
        <w:rPr>
          <w:rFonts w:hint="eastAsia" w:ascii="宋体" w:hAnsi="宋体" w:cs="宋体"/>
          <w:sz w:val="24"/>
          <w:szCs w:val="24"/>
        </w:rPr>
        <w:t>“</w:t>
      </w:r>
      <w:r>
        <w:rPr>
          <w:rFonts w:hint="eastAsia" w:ascii="宋体" w:hAnsi="宋体" w:cs="宋体"/>
          <w:sz w:val="24"/>
          <w:szCs w:val="24"/>
          <w:lang w:val="zh-CN"/>
        </w:rPr>
        <w:t>政采云投标客户端</w:t>
      </w:r>
      <w:r>
        <w:rPr>
          <w:rFonts w:hint="eastAsia" w:ascii="宋体" w:hAnsi="宋体" w:cs="宋体"/>
          <w:sz w:val="24"/>
          <w:szCs w:val="24"/>
        </w:rPr>
        <w:t>”（</w:t>
      </w:r>
      <w:r>
        <w:rPr>
          <w:rFonts w:hint="eastAsia" w:ascii="宋体" w:hAnsi="宋体" w:cs="宋体"/>
          <w:sz w:val="24"/>
          <w:szCs w:val="24"/>
          <w:lang w:val="zh-CN"/>
        </w:rPr>
        <w:t>请自行前往</w:t>
      </w:r>
      <w:r>
        <w:rPr>
          <w:rFonts w:hint="eastAsia" w:ascii="宋体" w:hAnsi="宋体" w:cs="宋体"/>
          <w:sz w:val="24"/>
          <w:szCs w:val="24"/>
        </w:rPr>
        <w:t>“</w:t>
      </w:r>
      <w:r>
        <w:rPr>
          <w:rFonts w:hint="eastAsia" w:ascii="宋体" w:hAnsi="宋体" w:cs="宋体"/>
          <w:sz w:val="24"/>
          <w:szCs w:val="24"/>
          <w:lang w:val="zh-CN"/>
        </w:rPr>
        <w:t>政采云</w:t>
      </w:r>
      <w:r>
        <w:rPr>
          <w:rFonts w:hint="eastAsia" w:ascii="宋体" w:hAnsi="宋体" w:cs="宋体"/>
          <w:sz w:val="24"/>
          <w:szCs w:val="24"/>
        </w:rPr>
        <w:t>”</w:t>
      </w:r>
      <w:r>
        <w:rPr>
          <w:rFonts w:hint="eastAsia" w:ascii="宋体" w:hAnsi="宋体" w:cs="宋体"/>
          <w:sz w:val="24"/>
          <w:szCs w:val="24"/>
          <w:lang w:val="zh-CN"/>
        </w:rPr>
        <w:t>平台进行下载</w:t>
      </w:r>
      <w:r>
        <w:rPr>
          <w:rFonts w:hint="eastAsia" w:ascii="宋体" w:hAnsi="宋体" w:cs="宋体"/>
          <w:sz w:val="24"/>
          <w:szCs w:val="24"/>
        </w:rPr>
        <w:t>），</w:t>
      </w:r>
      <w:r>
        <w:rPr>
          <w:rFonts w:hint="eastAsia" w:ascii="宋体" w:hAnsi="宋体" w:cs="宋体"/>
          <w:sz w:val="24"/>
          <w:szCs w:val="24"/>
          <w:lang w:val="zh-CN"/>
        </w:rPr>
        <w:t>并按照本项目采购文件和</w:t>
      </w:r>
      <w:r>
        <w:rPr>
          <w:rFonts w:hint="eastAsia" w:ascii="宋体" w:hAnsi="宋体" w:cs="宋体"/>
          <w:sz w:val="24"/>
          <w:szCs w:val="24"/>
        </w:rPr>
        <w:t>“</w:t>
      </w:r>
      <w:r>
        <w:rPr>
          <w:rFonts w:hint="eastAsia" w:ascii="宋体" w:hAnsi="宋体" w:cs="宋体"/>
          <w:sz w:val="24"/>
          <w:szCs w:val="24"/>
          <w:lang w:val="zh-CN"/>
        </w:rPr>
        <w:t>政采云</w:t>
      </w:r>
      <w:r>
        <w:rPr>
          <w:rFonts w:hint="eastAsia" w:ascii="宋体" w:hAnsi="宋体" w:cs="宋体"/>
          <w:sz w:val="24"/>
          <w:szCs w:val="24"/>
        </w:rPr>
        <w:t>”</w:t>
      </w:r>
      <w:r>
        <w:rPr>
          <w:rFonts w:hint="eastAsia" w:ascii="宋体" w:hAnsi="宋体" w:cs="宋体"/>
          <w:sz w:val="24"/>
          <w:szCs w:val="24"/>
          <w:lang w:val="zh-CN"/>
        </w:rPr>
        <w:t>平台的要求编制、加密后在投标文件截止时间前通过网络上传至</w:t>
      </w:r>
      <w:r>
        <w:rPr>
          <w:rFonts w:hint="eastAsia" w:ascii="宋体" w:hAnsi="宋体" w:cs="宋体"/>
          <w:sz w:val="24"/>
          <w:szCs w:val="24"/>
        </w:rPr>
        <w:t>“</w:t>
      </w:r>
      <w:r>
        <w:rPr>
          <w:rFonts w:hint="eastAsia" w:ascii="宋体" w:hAnsi="宋体" w:cs="宋体"/>
          <w:sz w:val="24"/>
          <w:szCs w:val="24"/>
          <w:lang w:val="zh-CN"/>
        </w:rPr>
        <w:t>政采云</w:t>
      </w:r>
      <w:r>
        <w:rPr>
          <w:rFonts w:hint="eastAsia" w:ascii="宋体" w:hAnsi="宋体" w:cs="宋体"/>
          <w:sz w:val="24"/>
          <w:szCs w:val="24"/>
        </w:rPr>
        <w:t>”</w:t>
      </w:r>
      <w:r>
        <w:rPr>
          <w:rFonts w:hint="eastAsia" w:ascii="宋体" w:hAnsi="宋体" w:cs="宋体"/>
          <w:sz w:val="24"/>
          <w:szCs w:val="24"/>
          <w:lang w:val="zh-CN"/>
        </w:rPr>
        <w:t>平台</w:t>
      </w:r>
      <w:r>
        <w:rPr>
          <w:rFonts w:hint="eastAsia" w:ascii="宋体" w:hAnsi="宋体" w:cs="宋体"/>
          <w:sz w:val="24"/>
          <w:szCs w:val="24"/>
        </w:rPr>
        <w:t>，</w:t>
      </w:r>
      <w:r>
        <w:rPr>
          <w:rFonts w:hint="eastAsia" w:ascii="宋体" w:hAnsi="宋体" w:cs="宋体"/>
          <w:sz w:val="24"/>
          <w:szCs w:val="24"/>
          <w:lang w:val="zh-CN"/>
        </w:rPr>
        <w:t>投标人在</w:t>
      </w:r>
      <w:r>
        <w:rPr>
          <w:rFonts w:hint="eastAsia" w:ascii="宋体" w:hAnsi="宋体" w:cs="宋体"/>
          <w:sz w:val="24"/>
          <w:szCs w:val="24"/>
        </w:rPr>
        <w:t>“</w:t>
      </w:r>
      <w:r>
        <w:rPr>
          <w:rFonts w:hint="eastAsia" w:ascii="宋体" w:hAnsi="宋体" w:cs="宋体"/>
          <w:sz w:val="24"/>
          <w:szCs w:val="24"/>
          <w:lang w:val="zh-CN"/>
        </w:rPr>
        <w:t>政采云</w:t>
      </w:r>
      <w:r>
        <w:rPr>
          <w:rFonts w:hint="eastAsia" w:ascii="宋体" w:hAnsi="宋体" w:cs="宋体"/>
          <w:sz w:val="24"/>
          <w:szCs w:val="24"/>
        </w:rPr>
        <w:t>”</w:t>
      </w:r>
      <w:r>
        <w:rPr>
          <w:rFonts w:hint="eastAsia" w:ascii="宋体" w:hAnsi="宋体" w:cs="宋体"/>
          <w:sz w:val="24"/>
          <w:szCs w:val="24"/>
          <w:lang w:val="zh-CN"/>
        </w:rPr>
        <w:t>平台提交电子版投标文件时</w:t>
      </w:r>
      <w:r>
        <w:rPr>
          <w:rFonts w:hint="eastAsia" w:ascii="宋体" w:hAnsi="宋体" w:cs="宋体"/>
          <w:sz w:val="24"/>
          <w:szCs w:val="24"/>
        </w:rPr>
        <w:t>，</w:t>
      </w:r>
      <w:r>
        <w:rPr>
          <w:rFonts w:hint="eastAsia" w:ascii="宋体" w:hAnsi="宋体" w:cs="宋体"/>
          <w:sz w:val="24"/>
          <w:szCs w:val="24"/>
          <w:lang w:val="zh-CN"/>
        </w:rPr>
        <w:t>请填写参加采购活动经办人联系方式。电子投标文件解密期限及方式：开启时间后30分钟内，由投标人持制作该电子投标文件的同一数字证书（CA锁）及电脑进行远程解密（各投标人在开标前及网上开评标系统公布投标人名单前，不要提前进行远程解密）。</w:t>
      </w:r>
    </w:p>
    <w:p w14:paraId="4A194809">
      <w:pPr>
        <w:spacing w:line="360" w:lineRule="auto"/>
        <w:rPr>
          <w:rFonts w:hint="eastAsia" w:ascii="宋体" w:hAnsi="宋体" w:cs="宋体"/>
          <w:sz w:val="24"/>
          <w:szCs w:val="24"/>
        </w:rPr>
      </w:pPr>
      <w:bookmarkStart w:id="9" w:name="_Toc28359007"/>
      <w:bookmarkStart w:id="10" w:name="_Toc28359084"/>
      <w:r>
        <w:rPr>
          <w:rFonts w:hint="eastAsia" w:ascii="宋体" w:hAnsi="宋体" w:cs="宋体"/>
          <w:sz w:val="24"/>
          <w:szCs w:val="24"/>
        </w:rPr>
        <w:t>五、公告期限</w:t>
      </w:r>
      <w:bookmarkEnd w:id="9"/>
      <w:bookmarkEnd w:id="10"/>
    </w:p>
    <w:p w14:paraId="46ED6646">
      <w:pPr>
        <w:spacing w:line="360" w:lineRule="auto"/>
        <w:ind w:firstLine="480" w:firstLineChars="200"/>
        <w:rPr>
          <w:rFonts w:hint="eastAsia" w:ascii="宋体" w:hAnsi="宋体" w:cs="宋体"/>
          <w:kern w:val="0"/>
          <w:sz w:val="24"/>
          <w:szCs w:val="24"/>
        </w:rPr>
      </w:pPr>
      <w:r>
        <w:rPr>
          <w:rFonts w:hint="eastAsia" w:ascii="宋体" w:hAnsi="宋体" w:cs="宋体"/>
          <w:kern w:val="0"/>
          <w:sz w:val="24"/>
          <w:szCs w:val="24"/>
        </w:rPr>
        <w:t>自本公告发布之日起5个工作日。</w:t>
      </w:r>
    </w:p>
    <w:p w14:paraId="1C795F94">
      <w:pPr>
        <w:spacing w:line="360" w:lineRule="auto"/>
        <w:rPr>
          <w:rFonts w:hint="eastAsia" w:ascii="宋体" w:hAnsi="宋体" w:cs="宋体"/>
          <w:sz w:val="24"/>
          <w:szCs w:val="24"/>
        </w:rPr>
      </w:pPr>
      <w:r>
        <w:rPr>
          <w:rFonts w:hint="eastAsia" w:ascii="宋体" w:hAnsi="宋体" w:cs="宋体"/>
          <w:sz w:val="24"/>
          <w:szCs w:val="24"/>
        </w:rPr>
        <w:t>六、其他补充事宜：</w:t>
      </w:r>
    </w:p>
    <w:p w14:paraId="77546390">
      <w:pPr>
        <w:spacing w:line="360" w:lineRule="auto"/>
        <w:ind w:firstLine="480" w:firstLineChars="200"/>
        <w:rPr>
          <w:rFonts w:hint="eastAsia" w:ascii="宋体" w:hAnsi="宋体" w:cs="宋体"/>
          <w:sz w:val="24"/>
          <w:szCs w:val="24"/>
        </w:rPr>
      </w:pPr>
      <w:bookmarkStart w:id="11" w:name="_Toc28359008"/>
      <w:bookmarkStart w:id="12" w:name="_Toc28359085"/>
      <w:r>
        <w:rPr>
          <w:rFonts w:hint="eastAsia" w:ascii="宋体" w:hAnsi="宋体" w:cs="宋体"/>
          <w:sz w:val="24"/>
          <w:szCs w:val="24"/>
        </w:rPr>
        <w:t>1、采购公告发布媒介：吉林省政府采购网、同步推送至吉林省公共资源交易公共服务平台和中国政府采购网、吉林工程职业学院官网。</w:t>
      </w:r>
    </w:p>
    <w:p w14:paraId="7B7C915B">
      <w:pPr>
        <w:spacing w:line="360" w:lineRule="auto"/>
        <w:rPr>
          <w:rFonts w:hint="eastAsia" w:ascii="宋体" w:hAnsi="宋体" w:cs="宋体"/>
          <w:sz w:val="24"/>
          <w:szCs w:val="24"/>
        </w:rPr>
      </w:pPr>
      <w:r>
        <w:rPr>
          <w:rFonts w:hint="eastAsia" w:ascii="宋体" w:hAnsi="宋体" w:cs="宋体"/>
          <w:sz w:val="24"/>
          <w:szCs w:val="24"/>
        </w:rPr>
        <w:t xml:space="preserve">    2、电子化平台相关注意事项： </w:t>
      </w:r>
    </w:p>
    <w:p w14:paraId="74E14E9C">
      <w:pPr>
        <w:spacing w:line="360" w:lineRule="auto"/>
        <w:ind w:firstLine="480" w:firstLineChars="200"/>
        <w:rPr>
          <w:rFonts w:hint="eastAsia" w:ascii="宋体" w:hAnsi="宋体" w:cs="宋体"/>
          <w:sz w:val="24"/>
          <w:szCs w:val="24"/>
        </w:rPr>
      </w:pPr>
      <w:r>
        <w:rPr>
          <w:rFonts w:hint="eastAsia" w:ascii="宋体" w:hAnsi="宋体" w:cs="宋体"/>
          <w:sz w:val="24"/>
          <w:szCs w:val="24"/>
        </w:rPr>
        <w:t xml:space="preserve">（1）供应商在电子化平台参与政府采购项目前，应在电子化平台完成信息注册； </w:t>
      </w:r>
    </w:p>
    <w:p w14:paraId="0291AEF0">
      <w:pPr>
        <w:spacing w:line="360" w:lineRule="auto"/>
        <w:ind w:firstLine="480" w:firstLineChars="200"/>
        <w:rPr>
          <w:rFonts w:hint="eastAsia" w:ascii="宋体" w:hAnsi="宋体" w:cs="宋体"/>
          <w:sz w:val="24"/>
          <w:szCs w:val="24"/>
        </w:rPr>
      </w:pPr>
      <w:r>
        <w:rPr>
          <w:rFonts w:hint="eastAsia" w:ascii="宋体" w:hAnsi="宋体" w:cs="宋体"/>
          <w:sz w:val="24"/>
          <w:szCs w:val="24"/>
        </w:rPr>
        <w:t xml:space="preserve">（2）CA数字证书申请：未进行政采云注册并办理数字证书（CA认证）的供应商将无法 </w:t>
      </w:r>
    </w:p>
    <w:p w14:paraId="29F0CED5">
      <w:pPr>
        <w:spacing w:line="360" w:lineRule="auto"/>
        <w:rPr>
          <w:rFonts w:hint="eastAsia" w:ascii="宋体" w:hAnsi="宋体" w:cs="宋体"/>
          <w:sz w:val="24"/>
          <w:szCs w:val="24"/>
        </w:rPr>
      </w:pPr>
      <w:r>
        <w:rPr>
          <w:rFonts w:hint="eastAsia" w:ascii="宋体" w:hAnsi="宋体" w:cs="宋体"/>
          <w:sz w:val="24"/>
          <w:szCs w:val="24"/>
        </w:rPr>
        <w:t xml:space="preserve">参与本项目政府采购活动，潜在供应商应当在响应截止时间前，完成政采云平台上的CA数字 </w:t>
      </w:r>
    </w:p>
    <w:p w14:paraId="163B8A37">
      <w:pPr>
        <w:spacing w:line="360" w:lineRule="auto"/>
        <w:rPr>
          <w:rFonts w:hint="eastAsia" w:ascii="宋体" w:hAnsi="宋体" w:cs="宋体"/>
          <w:sz w:val="24"/>
          <w:szCs w:val="24"/>
        </w:rPr>
      </w:pPr>
      <w:r>
        <w:rPr>
          <w:rFonts w:hint="eastAsia" w:ascii="宋体" w:hAnsi="宋体" w:cs="宋体"/>
          <w:sz w:val="24"/>
          <w:szCs w:val="24"/>
        </w:rPr>
        <w:t xml:space="preserve">证书办理及投标文件的提交。供应商须自行考虑办理时间，由于供应商自身原因导致无法完成 </w:t>
      </w:r>
    </w:p>
    <w:p w14:paraId="05321961">
      <w:pPr>
        <w:wordWrap w:val="0"/>
        <w:spacing w:line="360" w:lineRule="auto"/>
        <w:jc w:val="left"/>
        <w:rPr>
          <w:rFonts w:hint="eastAsia" w:ascii="宋体" w:hAnsi="宋体" w:cs="宋体"/>
          <w:sz w:val="24"/>
          <w:szCs w:val="24"/>
        </w:rPr>
      </w:pPr>
      <w:r>
        <w:rPr>
          <w:rFonts w:hint="eastAsia" w:ascii="宋体" w:hAnsi="宋体" w:cs="宋体"/>
          <w:sz w:val="24"/>
          <w:szCs w:val="24"/>
        </w:rPr>
        <w:t xml:space="preserve">办理的，后果自负；（ 安 信 CA 申 请 流 程 ： http://www.anxinca.com/kehu/zcy/kh-zcy-zsshenqing.html ； 翔 晟 CA 申 请 流 程 ： http://www.share-sun.com/xsapply/admin/login.aspx?unitname=jilin） </w:t>
      </w:r>
    </w:p>
    <w:p w14:paraId="6E0456F5">
      <w:pPr>
        <w:spacing w:line="360" w:lineRule="auto"/>
        <w:ind w:firstLine="480" w:firstLineChars="200"/>
        <w:rPr>
          <w:rFonts w:hint="eastAsia" w:ascii="宋体" w:hAnsi="宋体" w:cs="宋体"/>
          <w:sz w:val="24"/>
          <w:szCs w:val="24"/>
        </w:rPr>
      </w:pPr>
      <w:r>
        <w:rPr>
          <w:rFonts w:hint="eastAsia" w:ascii="宋体" w:hAnsi="宋体" w:cs="宋体"/>
          <w:sz w:val="24"/>
          <w:szCs w:val="24"/>
        </w:rPr>
        <w:t xml:space="preserve">（3）为确保网上操作合法、有效和安全，请供应商确保在电子响应过程中能够对相关数 </w:t>
      </w:r>
    </w:p>
    <w:p w14:paraId="3788E21A">
      <w:pPr>
        <w:spacing w:line="360" w:lineRule="auto"/>
        <w:rPr>
          <w:rFonts w:hint="eastAsia" w:ascii="宋体" w:hAnsi="宋体" w:cs="宋体"/>
          <w:sz w:val="24"/>
          <w:szCs w:val="24"/>
        </w:rPr>
      </w:pPr>
      <w:r>
        <w:rPr>
          <w:rFonts w:hint="eastAsia" w:ascii="宋体" w:hAnsi="宋体" w:cs="宋体"/>
          <w:sz w:val="24"/>
          <w:szCs w:val="24"/>
        </w:rPr>
        <w:t xml:space="preserve">据电文进行加密和使用电子签章，妥善保管CA数字证书并使用有效的CA数字证书参与整个采 </w:t>
      </w:r>
    </w:p>
    <w:p w14:paraId="1956C4E8">
      <w:pPr>
        <w:spacing w:line="360" w:lineRule="auto"/>
        <w:rPr>
          <w:rFonts w:hint="eastAsia" w:ascii="宋体" w:hAnsi="宋体" w:cs="宋体"/>
          <w:sz w:val="24"/>
          <w:szCs w:val="24"/>
        </w:rPr>
      </w:pPr>
      <w:r>
        <w:rPr>
          <w:rFonts w:hint="eastAsia" w:ascii="宋体" w:hAnsi="宋体" w:cs="宋体"/>
          <w:sz w:val="24"/>
          <w:szCs w:val="24"/>
        </w:rPr>
        <w:t xml:space="preserve">购活动； </w:t>
      </w:r>
    </w:p>
    <w:p w14:paraId="30CCBA5F">
      <w:pPr>
        <w:spacing w:line="360" w:lineRule="auto"/>
        <w:ind w:firstLine="480" w:firstLineChars="200"/>
        <w:rPr>
          <w:rFonts w:hint="eastAsia" w:ascii="宋体" w:hAnsi="宋体" w:cs="宋体"/>
          <w:sz w:val="24"/>
          <w:szCs w:val="24"/>
        </w:rPr>
      </w:pPr>
      <w:r>
        <w:rPr>
          <w:rFonts w:hint="eastAsia" w:ascii="宋体" w:hAnsi="宋体" w:cs="宋体"/>
          <w:sz w:val="24"/>
          <w:szCs w:val="24"/>
        </w:rPr>
        <w:t xml:space="preserve">（4）若对项目采购电子交易系统操作有疑问，可登录“政采云”平台，点击右侧咨询小 </w:t>
      </w:r>
    </w:p>
    <w:p w14:paraId="391689EE">
      <w:pPr>
        <w:spacing w:line="360" w:lineRule="auto"/>
        <w:rPr>
          <w:rFonts w:hint="eastAsia" w:ascii="宋体" w:hAnsi="宋体" w:cs="宋体"/>
          <w:sz w:val="24"/>
          <w:szCs w:val="24"/>
        </w:rPr>
      </w:pPr>
      <w:r>
        <w:rPr>
          <w:rFonts w:hint="eastAsia" w:ascii="宋体" w:hAnsi="宋体" w:cs="宋体"/>
          <w:sz w:val="24"/>
          <w:szCs w:val="24"/>
        </w:rPr>
        <w:t>采，获取智能服务管家帮助，或拨打政采云服务热线95763获取帮助。</w:t>
      </w:r>
    </w:p>
    <w:p w14:paraId="30B64AE0">
      <w:pPr>
        <w:spacing w:line="360" w:lineRule="auto"/>
        <w:rPr>
          <w:rFonts w:hint="eastAsia" w:ascii="宋体" w:hAnsi="宋体" w:cs="宋体"/>
          <w:sz w:val="24"/>
          <w:szCs w:val="24"/>
        </w:rPr>
      </w:pPr>
      <w:r>
        <w:rPr>
          <w:rFonts w:hint="eastAsia" w:ascii="宋体" w:hAnsi="宋体" w:cs="宋体"/>
          <w:sz w:val="24"/>
          <w:szCs w:val="24"/>
        </w:rPr>
        <w:t xml:space="preserve">    3、落实政府采购政策：《财政部关于进一步加大政府采购支持中小企业力度的通知》 （财库[2022]19号）、《政府采购促进中小企业发展管理办法》（财库[2020]46号）、《关于政府采购支持监狱企业发展有关问题的通知》(财库[2014]68号)、《三部门联合发布关于促进残疾人就业政府采购政策的通知》(财库[2017]141号)、《关于调整优化节能产品、环境标志产品政府采购执行机制的通知》(财库[2019]9号)等。</w:t>
      </w:r>
    </w:p>
    <w:p w14:paraId="5C633DED">
      <w:pPr>
        <w:spacing w:line="360" w:lineRule="auto"/>
        <w:ind w:firstLine="480" w:firstLineChars="200"/>
        <w:rPr>
          <w:rFonts w:hint="eastAsia" w:ascii="宋体" w:hAnsi="宋体" w:cs="宋体"/>
          <w:kern w:val="0"/>
          <w:sz w:val="24"/>
          <w:szCs w:val="24"/>
        </w:rPr>
      </w:pPr>
      <w:r>
        <w:rPr>
          <w:rFonts w:hint="eastAsia" w:ascii="宋体" w:hAnsi="宋体" w:cs="宋体"/>
          <w:kern w:val="0"/>
          <w:sz w:val="24"/>
          <w:szCs w:val="24"/>
        </w:rPr>
        <w:t>七、对本次招标提出询问，请按以下方式联系。</w:t>
      </w:r>
      <w:bookmarkEnd w:id="11"/>
      <w:bookmarkEnd w:id="12"/>
      <w:r>
        <w:rPr>
          <w:rFonts w:hint="eastAsia" w:ascii="宋体" w:hAnsi="宋体" w:cs="宋体"/>
          <w:kern w:val="0"/>
          <w:sz w:val="24"/>
          <w:szCs w:val="24"/>
        </w:rPr>
        <w:tab/>
      </w:r>
      <w:r>
        <w:rPr>
          <w:rFonts w:hint="eastAsia" w:ascii="宋体" w:hAnsi="宋体" w:cs="宋体"/>
          <w:kern w:val="0"/>
          <w:sz w:val="24"/>
          <w:szCs w:val="24"/>
        </w:rPr>
        <w:t xml:space="preserve">　　 </w:t>
      </w:r>
    </w:p>
    <w:p w14:paraId="664BA308">
      <w:pPr>
        <w:spacing w:line="360" w:lineRule="auto"/>
        <w:ind w:firstLine="480" w:firstLineChars="200"/>
        <w:rPr>
          <w:rFonts w:hint="eastAsia" w:ascii="宋体" w:hAnsi="宋体" w:cs="宋体"/>
          <w:sz w:val="24"/>
          <w:szCs w:val="24"/>
        </w:rPr>
      </w:pPr>
      <w:r>
        <w:rPr>
          <w:rFonts w:hint="eastAsia" w:ascii="宋体" w:hAnsi="宋体" w:cs="宋体"/>
          <w:sz w:val="24"/>
          <w:szCs w:val="24"/>
        </w:rPr>
        <w:t>1.采购人信息</w:t>
      </w:r>
    </w:p>
    <w:p w14:paraId="7EBA665C">
      <w:pPr>
        <w:spacing w:line="360" w:lineRule="auto"/>
        <w:ind w:firstLine="480" w:firstLineChars="200"/>
        <w:rPr>
          <w:rFonts w:hint="eastAsia" w:ascii="宋体" w:hAnsi="宋体" w:cs="宋体"/>
          <w:sz w:val="24"/>
          <w:szCs w:val="24"/>
        </w:rPr>
      </w:pPr>
      <w:r>
        <w:rPr>
          <w:rFonts w:hint="eastAsia" w:ascii="宋体" w:hAnsi="宋体" w:cs="宋体"/>
          <w:sz w:val="24"/>
          <w:szCs w:val="24"/>
        </w:rPr>
        <w:t>名    称：吉林工程职业学院</w:t>
      </w:r>
    </w:p>
    <w:p w14:paraId="4FF5CC4F">
      <w:pPr>
        <w:spacing w:line="360" w:lineRule="auto"/>
        <w:ind w:firstLine="480" w:firstLineChars="200"/>
        <w:rPr>
          <w:rFonts w:hint="eastAsia" w:ascii="宋体" w:hAnsi="宋体" w:cs="宋体"/>
          <w:sz w:val="24"/>
          <w:szCs w:val="24"/>
        </w:rPr>
      </w:pPr>
      <w:r>
        <w:rPr>
          <w:rFonts w:hint="eastAsia" w:ascii="宋体" w:hAnsi="宋体" w:cs="宋体"/>
          <w:sz w:val="24"/>
          <w:szCs w:val="24"/>
        </w:rPr>
        <w:t>地　　址：</w:t>
      </w:r>
      <w:r>
        <w:rPr>
          <w:rFonts w:hint="eastAsia" w:ascii="宋体" w:hAnsi="宋体" w:cs="宋体"/>
          <w:sz w:val="24"/>
          <w:szCs w:val="24"/>
          <w:lang w:val="zh-CN"/>
        </w:rPr>
        <w:t>吉林省四平市铁东区长发路</w:t>
      </w:r>
      <w:r>
        <w:rPr>
          <w:rFonts w:hint="eastAsia" w:ascii="宋体" w:hAnsi="宋体" w:cs="宋体"/>
          <w:sz w:val="24"/>
          <w:szCs w:val="24"/>
        </w:rPr>
        <w:t xml:space="preserve">1299号 </w:t>
      </w:r>
    </w:p>
    <w:p w14:paraId="23ABDA54">
      <w:pPr>
        <w:spacing w:line="360" w:lineRule="auto"/>
        <w:ind w:firstLine="480" w:firstLineChars="200"/>
        <w:rPr>
          <w:rFonts w:hint="eastAsia" w:ascii="宋体" w:hAnsi="宋体" w:cs="宋体"/>
          <w:sz w:val="24"/>
          <w:szCs w:val="24"/>
        </w:rPr>
      </w:pPr>
      <w:r>
        <w:rPr>
          <w:rFonts w:hint="eastAsia" w:ascii="宋体" w:hAnsi="宋体" w:cs="宋体"/>
          <w:sz w:val="24"/>
          <w:szCs w:val="24"/>
        </w:rPr>
        <w:t>联系方式：王畅 0434-3352223</w:t>
      </w:r>
    </w:p>
    <w:p w14:paraId="12E38403">
      <w:pPr>
        <w:spacing w:line="360" w:lineRule="auto"/>
        <w:ind w:firstLine="480" w:firstLineChars="200"/>
        <w:rPr>
          <w:rFonts w:hint="eastAsia" w:ascii="宋体" w:hAnsi="宋体" w:cs="宋体"/>
          <w:sz w:val="24"/>
          <w:szCs w:val="24"/>
          <w:lang w:val="zh-CN"/>
        </w:rPr>
      </w:pPr>
      <w:r>
        <w:rPr>
          <w:rFonts w:hint="eastAsia" w:ascii="宋体" w:hAnsi="宋体" w:cs="宋体"/>
          <w:sz w:val="24"/>
          <w:szCs w:val="24"/>
          <w:lang w:val="zh-CN"/>
        </w:rPr>
        <w:t>2.采购代理机构信息</w:t>
      </w:r>
    </w:p>
    <w:p w14:paraId="3D4C231C">
      <w:pPr>
        <w:spacing w:line="360" w:lineRule="auto"/>
        <w:ind w:firstLine="480" w:firstLineChars="200"/>
        <w:rPr>
          <w:rFonts w:hint="eastAsia" w:ascii="宋体" w:hAnsi="宋体" w:cs="宋体"/>
          <w:sz w:val="24"/>
          <w:szCs w:val="24"/>
          <w:lang w:val="zh-CN"/>
        </w:rPr>
      </w:pPr>
      <w:r>
        <w:rPr>
          <w:rFonts w:hint="eastAsia" w:ascii="宋体" w:hAnsi="宋体" w:cs="宋体"/>
          <w:sz w:val="24"/>
          <w:szCs w:val="24"/>
          <w:lang w:val="zh-CN"/>
        </w:rPr>
        <w:t>名    称：鼎正众创建设集团有限公司</w:t>
      </w:r>
    </w:p>
    <w:p w14:paraId="2CEBAF9B">
      <w:pPr>
        <w:spacing w:line="360" w:lineRule="auto"/>
        <w:ind w:firstLine="480" w:firstLineChars="200"/>
        <w:rPr>
          <w:rFonts w:hint="eastAsia" w:ascii="宋体" w:hAnsi="宋体" w:cs="宋体"/>
          <w:sz w:val="24"/>
          <w:szCs w:val="24"/>
          <w:lang w:val="zh-CN"/>
        </w:rPr>
      </w:pPr>
      <w:r>
        <w:rPr>
          <w:rFonts w:hint="eastAsia" w:ascii="宋体" w:hAnsi="宋体" w:cs="宋体"/>
          <w:sz w:val="24"/>
          <w:szCs w:val="24"/>
          <w:lang w:val="zh-CN"/>
        </w:rPr>
        <w:t>地　　址：长春市净月开发区环球贸易中心1栋1706室</w:t>
      </w:r>
    </w:p>
    <w:p w14:paraId="68BC9D41">
      <w:pPr>
        <w:spacing w:line="360" w:lineRule="auto"/>
        <w:ind w:firstLine="480" w:firstLineChars="200"/>
        <w:rPr>
          <w:rFonts w:hint="eastAsia" w:ascii="宋体" w:hAnsi="宋体" w:cs="宋体"/>
          <w:sz w:val="24"/>
          <w:szCs w:val="24"/>
          <w:lang w:val="zh-CN"/>
        </w:rPr>
      </w:pPr>
      <w:r>
        <w:rPr>
          <w:rFonts w:hint="eastAsia" w:ascii="宋体" w:hAnsi="宋体" w:cs="宋体"/>
          <w:sz w:val="24"/>
          <w:szCs w:val="24"/>
          <w:lang w:val="zh-CN"/>
        </w:rPr>
        <w:t>联系方式：</w:t>
      </w:r>
      <w:r>
        <w:rPr>
          <w:rFonts w:hint="eastAsia" w:ascii="宋体" w:hAnsi="宋体" w:cs="宋体"/>
          <w:sz w:val="24"/>
          <w:szCs w:val="24"/>
        </w:rPr>
        <w:t>孙小英</w:t>
      </w:r>
      <w:r>
        <w:rPr>
          <w:rFonts w:hint="eastAsia" w:ascii="宋体" w:hAnsi="宋体" w:cs="宋体"/>
          <w:sz w:val="24"/>
          <w:szCs w:val="24"/>
          <w:lang w:val="zh-CN"/>
        </w:rPr>
        <w:t xml:space="preserve">    0431-88664456</w:t>
      </w:r>
    </w:p>
    <w:p w14:paraId="26E9BF8D">
      <w:pPr>
        <w:spacing w:line="360" w:lineRule="auto"/>
        <w:ind w:firstLine="480" w:firstLineChars="200"/>
        <w:rPr>
          <w:rFonts w:hint="eastAsia" w:ascii="宋体" w:hAnsi="宋体" w:cs="宋体"/>
          <w:sz w:val="24"/>
          <w:szCs w:val="24"/>
          <w:lang w:val="zh-CN"/>
        </w:rPr>
      </w:pPr>
      <w:r>
        <w:rPr>
          <w:rFonts w:hint="eastAsia" w:ascii="宋体" w:hAnsi="宋体" w:cs="宋体"/>
          <w:sz w:val="24"/>
          <w:szCs w:val="24"/>
          <w:lang w:val="zh-CN"/>
        </w:rPr>
        <w:t>3.项目联系方式</w:t>
      </w:r>
    </w:p>
    <w:p w14:paraId="70663E24">
      <w:pPr>
        <w:spacing w:line="360" w:lineRule="auto"/>
        <w:ind w:firstLine="480" w:firstLineChars="200"/>
        <w:rPr>
          <w:rFonts w:hint="eastAsia" w:ascii="宋体" w:hAnsi="宋体" w:cs="宋体"/>
          <w:sz w:val="24"/>
          <w:szCs w:val="24"/>
          <w:lang w:val="zh-CN"/>
        </w:rPr>
      </w:pPr>
      <w:r>
        <w:rPr>
          <w:rFonts w:hint="eastAsia" w:ascii="宋体" w:hAnsi="宋体" w:cs="宋体"/>
          <w:sz w:val="24"/>
          <w:szCs w:val="24"/>
          <w:lang w:val="zh-CN"/>
        </w:rPr>
        <w:t>项目联系人：</w:t>
      </w:r>
      <w:r>
        <w:rPr>
          <w:rFonts w:hint="eastAsia" w:ascii="宋体" w:hAnsi="宋体" w:cs="宋体"/>
          <w:sz w:val="24"/>
          <w:szCs w:val="24"/>
        </w:rPr>
        <w:t>孙小英</w:t>
      </w:r>
    </w:p>
    <w:p w14:paraId="1D6AD494">
      <w:pPr>
        <w:adjustRightInd w:val="0"/>
        <w:snapToGrid w:val="0"/>
        <w:spacing w:line="360" w:lineRule="auto"/>
        <w:ind w:firstLine="480" w:firstLineChars="200"/>
        <w:rPr>
          <w:rFonts w:hint="eastAsia" w:ascii="宋体" w:hAnsi="宋体" w:cs="宋体"/>
          <w:sz w:val="24"/>
          <w:szCs w:val="24"/>
        </w:rPr>
      </w:pPr>
      <w:r>
        <w:rPr>
          <w:rFonts w:hint="eastAsia" w:ascii="宋体" w:hAnsi="宋体" w:cs="宋体"/>
          <w:sz w:val="24"/>
          <w:szCs w:val="24"/>
        </w:rPr>
        <w:t>电      话：0431-88664456</w:t>
      </w:r>
    </w:p>
    <w:p w14:paraId="266A0204">
      <w:pPr>
        <w:widowControl/>
        <w:ind w:firstLine="480" w:firstLineChars="200"/>
        <w:jc w:val="left"/>
        <w:rPr>
          <w:sz w:val="32"/>
          <w:szCs w:val="32"/>
          <w:lang w:val="zh-CN"/>
        </w:rPr>
      </w:pPr>
      <w:r>
        <w:rPr>
          <w:rFonts w:hint="eastAsia" w:ascii="宋体" w:hAnsi="宋体" w:cs="宋体"/>
          <w:color w:val="000000"/>
          <w:kern w:val="0"/>
          <w:sz w:val="24"/>
          <w:szCs w:val="24"/>
          <w:lang w:bidi="ar"/>
        </w:rPr>
        <w:t>监管部门：吉林省财政厅政府采购管理处</w:t>
      </w:r>
      <w:bookmarkStart w:id="13" w:name="_Toc18032"/>
    </w:p>
    <w:p w14:paraId="4BDC1B89">
      <w:pPr>
        <w:pStyle w:val="2"/>
        <w:spacing w:line="240" w:lineRule="auto"/>
        <w:rPr>
          <w:sz w:val="32"/>
          <w:szCs w:val="32"/>
          <w:lang w:val="zh-CN"/>
        </w:rPr>
      </w:pPr>
    </w:p>
    <w:p w14:paraId="56192691">
      <w:pPr>
        <w:pStyle w:val="2"/>
        <w:spacing w:line="240" w:lineRule="auto"/>
        <w:rPr>
          <w:sz w:val="32"/>
          <w:szCs w:val="32"/>
          <w:lang w:val="zh-CN"/>
        </w:rPr>
      </w:pPr>
    </w:p>
    <w:p w14:paraId="1DE973AD">
      <w:pPr>
        <w:pStyle w:val="2"/>
        <w:spacing w:line="240" w:lineRule="auto"/>
        <w:rPr>
          <w:sz w:val="32"/>
          <w:szCs w:val="32"/>
          <w:lang w:val="zh-CN"/>
        </w:rPr>
      </w:pPr>
    </w:p>
    <w:p w14:paraId="20077603">
      <w:pPr>
        <w:pStyle w:val="2"/>
        <w:spacing w:line="240" w:lineRule="auto"/>
        <w:rPr>
          <w:sz w:val="32"/>
          <w:szCs w:val="32"/>
          <w:lang w:val="zh-CN"/>
        </w:rPr>
      </w:pPr>
    </w:p>
    <w:p w14:paraId="5947137A">
      <w:pPr>
        <w:pStyle w:val="2"/>
        <w:spacing w:line="240" w:lineRule="auto"/>
        <w:rPr>
          <w:sz w:val="32"/>
          <w:szCs w:val="32"/>
          <w:lang w:val="zh-CN"/>
        </w:rPr>
      </w:pPr>
    </w:p>
    <w:p w14:paraId="16C3069D">
      <w:pPr>
        <w:pStyle w:val="2"/>
        <w:spacing w:line="240" w:lineRule="auto"/>
        <w:rPr>
          <w:sz w:val="32"/>
          <w:szCs w:val="32"/>
          <w:lang w:val="zh-CN"/>
        </w:rPr>
      </w:pPr>
    </w:p>
    <w:p w14:paraId="52E17FF6">
      <w:pPr>
        <w:pStyle w:val="2"/>
        <w:spacing w:line="240" w:lineRule="auto"/>
        <w:rPr>
          <w:sz w:val="32"/>
          <w:szCs w:val="32"/>
          <w:lang w:val="zh-CN"/>
        </w:rPr>
      </w:pPr>
    </w:p>
    <w:p w14:paraId="2FF6F2C9">
      <w:pPr>
        <w:pStyle w:val="2"/>
        <w:spacing w:line="240" w:lineRule="auto"/>
        <w:rPr>
          <w:sz w:val="32"/>
          <w:szCs w:val="32"/>
          <w:lang w:val="zh-CN"/>
        </w:rPr>
      </w:pPr>
    </w:p>
    <w:p w14:paraId="2FCCCA82">
      <w:pPr>
        <w:pStyle w:val="2"/>
        <w:spacing w:line="240" w:lineRule="auto"/>
        <w:rPr>
          <w:sz w:val="32"/>
          <w:szCs w:val="32"/>
          <w:lang w:val="zh-CN"/>
        </w:rPr>
      </w:pPr>
    </w:p>
    <w:p w14:paraId="5E81ADA0">
      <w:pPr>
        <w:pStyle w:val="2"/>
        <w:spacing w:line="240" w:lineRule="auto"/>
        <w:rPr>
          <w:sz w:val="32"/>
          <w:szCs w:val="32"/>
          <w:lang w:val="zh-CN"/>
        </w:rPr>
      </w:pPr>
    </w:p>
    <w:p w14:paraId="2FEEA925">
      <w:pPr>
        <w:pStyle w:val="2"/>
        <w:spacing w:line="240" w:lineRule="auto"/>
        <w:rPr>
          <w:sz w:val="32"/>
          <w:szCs w:val="32"/>
          <w:lang w:val="zh-CN"/>
        </w:rPr>
      </w:pPr>
    </w:p>
    <w:p w14:paraId="71DBB7FF">
      <w:pPr>
        <w:pStyle w:val="2"/>
        <w:spacing w:line="240" w:lineRule="auto"/>
        <w:rPr>
          <w:sz w:val="32"/>
          <w:szCs w:val="32"/>
          <w:lang w:val="zh-CN"/>
        </w:rPr>
      </w:pPr>
    </w:p>
    <w:p w14:paraId="152E9D63">
      <w:pPr>
        <w:pStyle w:val="2"/>
        <w:spacing w:line="240" w:lineRule="auto"/>
        <w:rPr>
          <w:sz w:val="32"/>
          <w:szCs w:val="32"/>
          <w:lang w:val="zh-CN"/>
        </w:rPr>
      </w:pPr>
    </w:p>
    <w:p w14:paraId="38589A3C">
      <w:pPr>
        <w:pStyle w:val="2"/>
        <w:spacing w:line="240" w:lineRule="auto"/>
        <w:rPr>
          <w:sz w:val="32"/>
          <w:szCs w:val="32"/>
          <w:lang w:val="zh-CN"/>
        </w:rPr>
      </w:pPr>
    </w:p>
    <w:p w14:paraId="3A21BD46">
      <w:pPr>
        <w:pStyle w:val="2"/>
        <w:spacing w:line="240" w:lineRule="auto"/>
        <w:rPr>
          <w:sz w:val="32"/>
          <w:szCs w:val="32"/>
          <w:lang w:val="zh-CN"/>
        </w:rPr>
      </w:pPr>
    </w:p>
    <w:p w14:paraId="3B66F93A">
      <w:pPr>
        <w:pStyle w:val="2"/>
        <w:spacing w:line="240" w:lineRule="auto"/>
        <w:rPr>
          <w:sz w:val="32"/>
          <w:szCs w:val="32"/>
          <w:lang w:val="zh-CN"/>
        </w:rPr>
      </w:pPr>
    </w:p>
    <w:p w14:paraId="7873F4E4">
      <w:pPr>
        <w:pStyle w:val="2"/>
        <w:spacing w:line="240" w:lineRule="auto"/>
        <w:rPr>
          <w:sz w:val="32"/>
          <w:szCs w:val="32"/>
          <w:lang w:val="zh-CN"/>
        </w:rPr>
      </w:pPr>
    </w:p>
    <w:p w14:paraId="1386D255">
      <w:pPr>
        <w:pStyle w:val="2"/>
        <w:spacing w:line="240" w:lineRule="auto"/>
        <w:rPr>
          <w:sz w:val="32"/>
          <w:szCs w:val="32"/>
          <w:lang w:val="zh-CN"/>
        </w:rPr>
      </w:pPr>
    </w:p>
    <w:p w14:paraId="363FB1F7">
      <w:pPr>
        <w:pStyle w:val="2"/>
        <w:spacing w:line="240" w:lineRule="auto"/>
        <w:rPr>
          <w:sz w:val="32"/>
          <w:szCs w:val="32"/>
          <w:lang w:val="zh-CN"/>
        </w:rPr>
      </w:pPr>
    </w:p>
    <w:p w14:paraId="449B1537">
      <w:pPr>
        <w:pStyle w:val="2"/>
        <w:spacing w:line="240" w:lineRule="auto"/>
        <w:rPr>
          <w:sz w:val="32"/>
          <w:szCs w:val="32"/>
          <w:lang w:val="zh-CN"/>
        </w:rPr>
      </w:pPr>
    </w:p>
    <w:p w14:paraId="0C89B992">
      <w:pPr>
        <w:pStyle w:val="2"/>
        <w:spacing w:line="240" w:lineRule="auto"/>
        <w:rPr>
          <w:sz w:val="32"/>
          <w:szCs w:val="32"/>
          <w:lang w:val="zh-CN"/>
        </w:rPr>
      </w:pPr>
    </w:p>
    <w:p w14:paraId="1AA0E0AC">
      <w:pPr>
        <w:pStyle w:val="2"/>
        <w:spacing w:line="240" w:lineRule="auto"/>
        <w:rPr>
          <w:sz w:val="32"/>
          <w:szCs w:val="32"/>
          <w:lang w:val="zh-CN"/>
        </w:rPr>
      </w:pPr>
    </w:p>
    <w:p w14:paraId="28D7D6AA">
      <w:pPr>
        <w:pStyle w:val="2"/>
        <w:spacing w:line="240" w:lineRule="auto"/>
        <w:rPr>
          <w:sz w:val="32"/>
          <w:szCs w:val="32"/>
          <w:lang w:val="zh-CN"/>
        </w:rPr>
      </w:pPr>
    </w:p>
    <w:p w14:paraId="7B5309BA">
      <w:pPr>
        <w:pStyle w:val="2"/>
        <w:spacing w:line="240" w:lineRule="auto"/>
        <w:rPr>
          <w:sz w:val="32"/>
          <w:szCs w:val="32"/>
          <w:lang w:val="zh-CN"/>
        </w:rPr>
      </w:pPr>
    </w:p>
    <w:p w14:paraId="3BA919D5">
      <w:pPr>
        <w:pStyle w:val="2"/>
        <w:spacing w:line="240" w:lineRule="auto"/>
        <w:rPr>
          <w:sz w:val="32"/>
          <w:szCs w:val="32"/>
          <w:lang w:val="zh-CN"/>
        </w:rPr>
      </w:pPr>
    </w:p>
    <w:p w14:paraId="6150E48E">
      <w:pPr>
        <w:rPr>
          <w:sz w:val="32"/>
          <w:szCs w:val="32"/>
          <w:lang w:val="zh-CN"/>
        </w:rPr>
      </w:pPr>
    </w:p>
    <w:p w14:paraId="775D162A">
      <w:pPr>
        <w:pStyle w:val="2"/>
        <w:spacing w:line="240" w:lineRule="auto"/>
        <w:rPr>
          <w:sz w:val="32"/>
          <w:szCs w:val="32"/>
          <w:lang w:val="zh-CN"/>
        </w:rPr>
      </w:pPr>
    </w:p>
    <w:p w14:paraId="49284FC1">
      <w:pPr>
        <w:pStyle w:val="2"/>
        <w:spacing w:line="240" w:lineRule="auto"/>
        <w:rPr>
          <w:sz w:val="32"/>
          <w:szCs w:val="32"/>
          <w:lang w:val="zh-CN"/>
        </w:rPr>
      </w:pPr>
    </w:p>
    <w:p w14:paraId="2A887AC1">
      <w:pPr>
        <w:pStyle w:val="2"/>
        <w:spacing w:line="240" w:lineRule="auto"/>
        <w:rPr>
          <w:sz w:val="32"/>
          <w:szCs w:val="32"/>
          <w:lang w:val="zh-CN"/>
        </w:rPr>
      </w:pPr>
    </w:p>
    <w:p w14:paraId="50D9F735">
      <w:pPr>
        <w:pStyle w:val="2"/>
        <w:spacing w:line="240" w:lineRule="auto"/>
        <w:rPr>
          <w:sz w:val="32"/>
          <w:szCs w:val="32"/>
          <w:lang w:val="zh-CN"/>
        </w:rPr>
      </w:pPr>
    </w:p>
    <w:p w14:paraId="54ED95D4">
      <w:pPr>
        <w:pStyle w:val="2"/>
        <w:spacing w:line="240" w:lineRule="auto"/>
        <w:rPr>
          <w:sz w:val="32"/>
          <w:szCs w:val="32"/>
          <w:lang w:val="zh-CN"/>
        </w:rPr>
      </w:pPr>
    </w:p>
    <w:p w14:paraId="3999BD3C">
      <w:pPr>
        <w:pStyle w:val="2"/>
        <w:spacing w:line="240" w:lineRule="auto"/>
        <w:rPr>
          <w:sz w:val="32"/>
          <w:szCs w:val="32"/>
          <w:lang w:val="zh-CN"/>
        </w:rPr>
      </w:pPr>
    </w:p>
    <w:p w14:paraId="59FD6AC1">
      <w:pPr>
        <w:rPr>
          <w:lang w:val="zh-CN"/>
        </w:rPr>
      </w:pPr>
    </w:p>
    <w:p w14:paraId="69F564A6">
      <w:pPr>
        <w:rPr>
          <w:lang w:val="zh-CN"/>
        </w:rPr>
      </w:pPr>
    </w:p>
    <w:p w14:paraId="06231BC9">
      <w:pPr>
        <w:pStyle w:val="2"/>
        <w:spacing w:line="240" w:lineRule="auto"/>
        <w:rPr>
          <w:sz w:val="32"/>
          <w:szCs w:val="32"/>
          <w:lang w:val="zh-CN"/>
        </w:rPr>
      </w:pPr>
    </w:p>
    <w:p w14:paraId="0BED9B94">
      <w:pPr>
        <w:rPr>
          <w:lang w:val="zh-CN"/>
        </w:rPr>
      </w:pPr>
    </w:p>
    <w:p w14:paraId="35764107">
      <w:pPr>
        <w:pStyle w:val="2"/>
        <w:spacing w:line="240" w:lineRule="auto"/>
        <w:rPr>
          <w:sz w:val="32"/>
          <w:szCs w:val="32"/>
          <w:lang w:val="zh-CN"/>
        </w:rPr>
      </w:pPr>
      <w:r>
        <w:rPr>
          <w:rFonts w:hint="eastAsia"/>
          <w:sz w:val="32"/>
          <w:szCs w:val="32"/>
          <w:lang w:val="zh-CN"/>
        </w:rPr>
        <w:t>第二章  投标人须知</w:t>
      </w:r>
      <w:bookmarkEnd w:id="1"/>
      <w:bookmarkEnd w:id="13"/>
    </w:p>
    <w:p w14:paraId="14A96F3B">
      <w:pPr>
        <w:autoSpaceDE w:val="0"/>
        <w:autoSpaceDN w:val="0"/>
        <w:adjustRightInd w:val="0"/>
        <w:jc w:val="center"/>
        <w:rPr>
          <w:rFonts w:hint="eastAsia" w:ascii="宋体" w:hAnsi="宋体" w:cs="宋体"/>
          <w:b/>
          <w:color w:val="000000"/>
          <w:sz w:val="30"/>
          <w:szCs w:val="30"/>
          <w:lang w:val="zh-CN"/>
        </w:rPr>
      </w:pPr>
      <w:r>
        <w:rPr>
          <w:rFonts w:hint="eastAsia" w:ascii="宋体" w:hAnsi="宋体" w:cs="宋体"/>
          <w:b/>
          <w:color w:val="000000"/>
          <w:sz w:val="30"/>
          <w:szCs w:val="30"/>
          <w:lang w:val="zh-CN"/>
        </w:rPr>
        <w:t>投标须知前附表</w:t>
      </w:r>
    </w:p>
    <w:tbl>
      <w:tblPr>
        <w:tblStyle w:val="21"/>
        <w:tblW w:w="4979"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103"/>
        <w:gridCol w:w="3002"/>
        <w:gridCol w:w="5816"/>
      </w:tblGrid>
      <w:tr w14:paraId="08D2B1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blHeader/>
        </w:trPr>
        <w:tc>
          <w:tcPr>
            <w:tcW w:w="556" w:type="pct"/>
            <w:vAlign w:val="center"/>
          </w:tcPr>
          <w:p w14:paraId="431CDB10">
            <w:pPr>
              <w:autoSpaceDE w:val="0"/>
              <w:autoSpaceDN w:val="0"/>
              <w:adjustRightInd w:val="0"/>
              <w:spacing w:line="360" w:lineRule="auto"/>
              <w:jc w:val="center"/>
              <w:rPr>
                <w:rFonts w:hint="eastAsia" w:ascii="宋体" w:hAnsi="宋体" w:cs="宋体"/>
                <w:color w:val="000000"/>
                <w:sz w:val="24"/>
                <w:szCs w:val="24"/>
                <w:lang w:val="zh-CN"/>
              </w:rPr>
            </w:pPr>
            <w:r>
              <w:rPr>
                <w:rFonts w:hint="eastAsia" w:ascii="宋体" w:hAnsi="宋体" w:cs="宋体"/>
                <w:color w:val="000000"/>
                <w:sz w:val="24"/>
                <w:szCs w:val="24"/>
                <w:lang w:val="zh-CN"/>
              </w:rPr>
              <w:t>序号</w:t>
            </w:r>
          </w:p>
        </w:tc>
        <w:tc>
          <w:tcPr>
            <w:tcW w:w="1513" w:type="pct"/>
            <w:vAlign w:val="center"/>
          </w:tcPr>
          <w:p w14:paraId="450CCA3B">
            <w:pPr>
              <w:pStyle w:val="13"/>
              <w:pBdr>
                <w:bottom w:val="none" w:color="auto" w:sz="0" w:space="0"/>
              </w:pBdr>
              <w:tabs>
                <w:tab w:val="clear" w:pos="4153"/>
                <w:tab w:val="clear" w:pos="8306"/>
              </w:tabs>
              <w:autoSpaceDE w:val="0"/>
              <w:autoSpaceDN w:val="0"/>
              <w:adjustRightInd w:val="0"/>
              <w:snapToGrid/>
              <w:spacing w:line="360" w:lineRule="auto"/>
              <w:rPr>
                <w:rFonts w:hint="eastAsia" w:ascii="宋体" w:hAnsi="宋体" w:cs="宋体"/>
                <w:b/>
                <w:color w:val="000000"/>
                <w:sz w:val="24"/>
                <w:szCs w:val="24"/>
                <w:lang w:val="zh-CN"/>
              </w:rPr>
            </w:pPr>
            <w:r>
              <w:rPr>
                <w:rFonts w:hint="eastAsia" w:ascii="宋体" w:hAnsi="宋体" w:cs="宋体"/>
                <w:b/>
                <w:color w:val="000000"/>
                <w:sz w:val="24"/>
                <w:szCs w:val="24"/>
                <w:lang w:val="zh-CN"/>
              </w:rPr>
              <w:t>名  称</w:t>
            </w:r>
          </w:p>
        </w:tc>
        <w:tc>
          <w:tcPr>
            <w:tcW w:w="2930" w:type="pct"/>
            <w:vAlign w:val="center"/>
          </w:tcPr>
          <w:p w14:paraId="16B715F9">
            <w:pPr>
              <w:pStyle w:val="13"/>
              <w:pBdr>
                <w:bottom w:val="none" w:color="auto" w:sz="0" w:space="0"/>
              </w:pBdr>
              <w:tabs>
                <w:tab w:val="clear" w:pos="4153"/>
                <w:tab w:val="clear" w:pos="8306"/>
              </w:tabs>
              <w:autoSpaceDE w:val="0"/>
              <w:autoSpaceDN w:val="0"/>
              <w:adjustRightInd w:val="0"/>
              <w:snapToGrid/>
              <w:spacing w:line="360" w:lineRule="auto"/>
              <w:rPr>
                <w:rFonts w:hint="eastAsia" w:ascii="宋体" w:hAnsi="宋体" w:cs="宋体"/>
                <w:b/>
                <w:color w:val="000000"/>
                <w:sz w:val="24"/>
                <w:szCs w:val="24"/>
                <w:lang w:val="zh-CN"/>
              </w:rPr>
            </w:pPr>
            <w:r>
              <w:rPr>
                <w:rFonts w:hint="eastAsia" w:ascii="宋体" w:hAnsi="宋体" w:cs="宋体"/>
                <w:b/>
                <w:color w:val="000000"/>
                <w:sz w:val="24"/>
                <w:szCs w:val="24"/>
                <w:lang w:val="zh-CN"/>
              </w:rPr>
              <w:t>编列内容</w:t>
            </w:r>
          </w:p>
        </w:tc>
      </w:tr>
      <w:tr w14:paraId="0B6217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77" w:hRule="atLeast"/>
        </w:trPr>
        <w:tc>
          <w:tcPr>
            <w:tcW w:w="556" w:type="pct"/>
            <w:vAlign w:val="center"/>
          </w:tcPr>
          <w:p w14:paraId="15EE40E7">
            <w:pPr>
              <w:autoSpaceDE w:val="0"/>
              <w:autoSpaceDN w:val="0"/>
              <w:adjustRightInd w:val="0"/>
              <w:spacing w:line="360" w:lineRule="auto"/>
              <w:jc w:val="center"/>
              <w:rPr>
                <w:rFonts w:hint="eastAsia" w:ascii="宋体" w:hAnsi="宋体" w:cs="宋体"/>
                <w:bCs/>
                <w:color w:val="000000"/>
                <w:sz w:val="24"/>
                <w:szCs w:val="24"/>
                <w:lang w:val="zh-CN"/>
              </w:rPr>
            </w:pPr>
            <w:r>
              <w:rPr>
                <w:rFonts w:hint="eastAsia" w:ascii="宋体" w:hAnsi="宋体" w:cs="宋体"/>
                <w:bCs/>
                <w:color w:val="000000"/>
                <w:sz w:val="24"/>
                <w:szCs w:val="24"/>
                <w:lang w:val="zh-CN"/>
              </w:rPr>
              <w:t>1</w:t>
            </w:r>
          </w:p>
        </w:tc>
        <w:tc>
          <w:tcPr>
            <w:tcW w:w="1513" w:type="pct"/>
            <w:vAlign w:val="center"/>
          </w:tcPr>
          <w:p w14:paraId="703C9344">
            <w:pPr>
              <w:autoSpaceDE w:val="0"/>
              <w:autoSpaceDN w:val="0"/>
              <w:adjustRightInd w:val="0"/>
              <w:spacing w:line="360" w:lineRule="auto"/>
              <w:jc w:val="center"/>
              <w:rPr>
                <w:rFonts w:hint="eastAsia" w:ascii="宋体" w:hAnsi="宋体" w:cs="宋体"/>
                <w:bCs/>
                <w:color w:val="000000"/>
                <w:sz w:val="24"/>
                <w:szCs w:val="24"/>
                <w:lang w:val="zh-CN"/>
              </w:rPr>
            </w:pPr>
            <w:r>
              <w:rPr>
                <w:rFonts w:hint="eastAsia" w:ascii="宋体" w:hAnsi="宋体" w:cs="宋体"/>
                <w:bCs/>
                <w:color w:val="000000"/>
                <w:sz w:val="24"/>
                <w:szCs w:val="24"/>
                <w:lang w:val="zh-CN"/>
              </w:rPr>
              <w:t>采购人信息</w:t>
            </w:r>
          </w:p>
        </w:tc>
        <w:tc>
          <w:tcPr>
            <w:tcW w:w="2930" w:type="pct"/>
            <w:vAlign w:val="center"/>
          </w:tcPr>
          <w:p w14:paraId="5EEA7E21">
            <w:pPr>
              <w:spacing w:line="360" w:lineRule="auto"/>
              <w:rPr>
                <w:rFonts w:hint="eastAsia" w:ascii="宋体" w:hAnsi="宋体" w:cs="宋体"/>
                <w:color w:val="000000"/>
                <w:sz w:val="24"/>
                <w:szCs w:val="24"/>
              </w:rPr>
            </w:pPr>
            <w:r>
              <w:rPr>
                <w:rFonts w:hint="eastAsia" w:ascii="宋体" w:hAnsi="宋体" w:cs="宋体"/>
                <w:color w:val="000000"/>
                <w:sz w:val="24"/>
                <w:szCs w:val="24"/>
              </w:rPr>
              <w:t>名    称：吉林工程职业学院</w:t>
            </w:r>
          </w:p>
          <w:p w14:paraId="64F59D84">
            <w:pPr>
              <w:spacing w:line="360" w:lineRule="auto"/>
              <w:rPr>
                <w:rFonts w:hint="eastAsia" w:ascii="宋体" w:hAnsi="宋体" w:cs="宋体"/>
                <w:color w:val="000000"/>
                <w:sz w:val="24"/>
                <w:szCs w:val="24"/>
              </w:rPr>
            </w:pPr>
            <w:r>
              <w:rPr>
                <w:rFonts w:hint="eastAsia" w:ascii="宋体" w:hAnsi="宋体" w:cs="宋体"/>
                <w:color w:val="000000"/>
                <w:sz w:val="24"/>
                <w:szCs w:val="24"/>
              </w:rPr>
              <w:t>地　　址：</w:t>
            </w:r>
            <w:r>
              <w:rPr>
                <w:rFonts w:hint="eastAsia" w:ascii="宋体" w:hAnsi="宋体" w:cs="宋体"/>
                <w:color w:val="000000"/>
                <w:sz w:val="24"/>
                <w:szCs w:val="24"/>
                <w:lang w:val="zh-CN"/>
              </w:rPr>
              <w:t>吉林省四平市铁东区长发路</w:t>
            </w:r>
            <w:r>
              <w:rPr>
                <w:rFonts w:hint="eastAsia" w:ascii="宋体" w:hAnsi="宋体" w:cs="宋体"/>
                <w:color w:val="000000"/>
                <w:sz w:val="24"/>
                <w:szCs w:val="24"/>
              </w:rPr>
              <w:t xml:space="preserve">1299号 </w:t>
            </w:r>
          </w:p>
          <w:p w14:paraId="3DA8AF83">
            <w:pPr>
              <w:spacing w:line="360" w:lineRule="auto"/>
              <w:rPr>
                <w:rFonts w:hint="eastAsia" w:ascii="宋体" w:hAnsi="宋体" w:cs="宋体"/>
                <w:color w:val="000000"/>
                <w:sz w:val="24"/>
                <w:szCs w:val="24"/>
              </w:rPr>
            </w:pPr>
            <w:r>
              <w:rPr>
                <w:rFonts w:hint="eastAsia" w:ascii="宋体" w:hAnsi="宋体" w:cs="宋体"/>
                <w:color w:val="000000"/>
                <w:sz w:val="24"/>
                <w:szCs w:val="24"/>
              </w:rPr>
              <w:t>联系方式：王畅 0434-3352223</w:t>
            </w:r>
          </w:p>
        </w:tc>
      </w:tr>
      <w:tr w14:paraId="56D663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3" w:hRule="atLeast"/>
        </w:trPr>
        <w:tc>
          <w:tcPr>
            <w:tcW w:w="556" w:type="pct"/>
            <w:vAlign w:val="center"/>
          </w:tcPr>
          <w:p w14:paraId="4D23945F">
            <w:pPr>
              <w:autoSpaceDE w:val="0"/>
              <w:autoSpaceDN w:val="0"/>
              <w:adjustRightInd w:val="0"/>
              <w:spacing w:line="360" w:lineRule="auto"/>
              <w:jc w:val="center"/>
              <w:rPr>
                <w:rFonts w:hint="eastAsia" w:ascii="宋体" w:hAnsi="宋体" w:cs="宋体"/>
                <w:bCs/>
                <w:color w:val="000000"/>
                <w:sz w:val="24"/>
                <w:szCs w:val="24"/>
                <w:lang w:val="zh-CN"/>
              </w:rPr>
            </w:pPr>
            <w:r>
              <w:rPr>
                <w:rFonts w:hint="eastAsia" w:ascii="宋体" w:hAnsi="宋体" w:cs="宋体"/>
                <w:bCs/>
                <w:color w:val="000000"/>
                <w:sz w:val="24"/>
                <w:szCs w:val="24"/>
                <w:lang w:val="zh-CN"/>
              </w:rPr>
              <w:t>2</w:t>
            </w:r>
          </w:p>
        </w:tc>
        <w:tc>
          <w:tcPr>
            <w:tcW w:w="1513" w:type="pct"/>
            <w:vAlign w:val="center"/>
          </w:tcPr>
          <w:p w14:paraId="68FFE656">
            <w:pPr>
              <w:autoSpaceDE w:val="0"/>
              <w:autoSpaceDN w:val="0"/>
              <w:adjustRightInd w:val="0"/>
              <w:spacing w:line="360" w:lineRule="auto"/>
              <w:jc w:val="center"/>
              <w:rPr>
                <w:rFonts w:hint="eastAsia" w:ascii="宋体" w:hAnsi="宋体" w:cs="宋体"/>
                <w:bCs/>
                <w:color w:val="000000"/>
                <w:sz w:val="24"/>
                <w:szCs w:val="24"/>
                <w:lang w:val="zh-CN"/>
              </w:rPr>
            </w:pPr>
            <w:r>
              <w:rPr>
                <w:rFonts w:hint="eastAsia" w:ascii="宋体" w:hAnsi="宋体" w:cs="宋体"/>
                <w:bCs/>
                <w:color w:val="000000"/>
                <w:sz w:val="24"/>
                <w:szCs w:val="24"/>
                <w:lang w:val="zh-CN"/>
              </w:rPr>
              <w:t>采购代理机构信息</w:t>
            </w:r>
          </w:p>
        </w:tc>
        <w:tc>
          <w:tcPr>
            <w:tcW w:w="2930" w:type="pct"/>
            <w:vAlign w:val="center"/>
          </w:tcPr>
          <w:p w14:paraId="3C346BAD">
            <w:pPr>
              <w:autoSpaceDE w:val="0"/>
              <w:autoSpaceDN w:val="0"/>
              <w:adjustRightInd w:val="0"/>
              <w:spacing w:line="360" w:lineRule="auto"/>
              <w:rPr>
                <w:rFonts w:hint="eastAsia" w:ascii="宋体" w:hAnsi="宋体" w:cs="宋体"/>
                <w:bCs/>
                <w:color w:val="000000"/>
                <w:sz w:val="24"/>
                <w:szCs w:val="24"/>
                <w:lang w:val="zh-CN"/>
              </w:rPr>
            </w:pPr>
            <w:r>
              <w:rPr>
                <w:rFonts w:hint="eastAsia" w:ascii="宋体" w:hAnsi="宋体" w:cs="宋体"/>
                <w:bCs/>
                <w:color w:val="000000"/>
                <w:sz w:val="24"/>
                <w:szCs w:val="24"/>
                <w:lang w:val="zh-CN"/>
              </w:rPr>
              <w:t>名    称：</w:t>
            </w:r>
            <w:r>
              <w:rPr>
                <w:rFonts w:hint="eastAsia" w:ascii="宋体" w:hAnsi="宋体" w:cs="宋体"/>
                <w:sz w:val="24"/>
                <w:szCs w:val="24"/>
                <w:lang w:val="zh-CN"/>
              </w:rPr>
              <w:t>鼎正众创建设集团有限公司</w:t>
            </w:r>
          </w:p>
          <w:p w14:paraId="42139E0B">
            <w:pPr>
              <w:autoSpaceDE w:val="0"/>
              <w:autoSpaceDN w:val="0"/>
              <w:adjustRightInd w:val="0"/>
              <w:spacing w:line="360" w:lineRule="auto"/>
              <w:rPr>
                <w:rFonts w:hint="eastAsia" w:ascii="宋体" w:hAnsi="宋体" w:cs="宋体"/>
                <w:bCs/>
                <w:color w:val="000000"/>
                <w:sz w:val="24"/>
                <w:szCs w:val="24"/>
                <w:lang w:val="zh-CN"/>
              </w:rPr>
            </w:pPr>
            <w:r>
              <w:rPr>
                <w:rFonts w:hint="eastAsia" w:ascii="宋体" w:hAnsi="宋体" w:cs="宋体"/>
                <w:bCs/>
                <w:color w:val="000000"/>
                <w:sz w:val="24"/>
                <w:szCs w:val="24"/>
                <w:lang w:val="zh-CN"/>
              </w:rPr>
              <w:t>地　　址：长春市净月开发区环球贸易中心1栋1706室</w:t>
            </w:r>
          </w:p>
          <w:p w14:paraId="05A2EFCE">
            <w:pPr>
              <w:autoSpaceDE w:val="0"/>
              <w:autoSpaceDN w:val="0"/>
              <w:adjustRightInd w:val="0"/>
              <w:spacing w:line="360" w:lineRule="auto"/>
              <w:rPr>
                <w:rFonts w:hint="eastAsia" w:ascii="宋体" w:hAnsi="宋体" w:cs="宋体"/>
                <w:bCs/>
                <w:color w:val="000000"/>
                <w:sz w:val="24"/>
                <w:szCs w:val="24"/>
                <w:lang w:val="zh-CN"/>
              </w:rPr>
            </w:pPr>
            <w:r>
              <w:rPr>
                <w:rFonts w:hint="eastAsia" w:ascii="宋体" w:hAnsi="宋体" w:cs="宋体"/>
                <w:bCs/>
                <w:color w:val="000000"/>
                <w:sz w:val="24"/>
                <w:szCs w:val="24"/>
                <w:lang w:val="zh-CN"/>
              </w:rPr>
              <w:t>联系方式：</w:t>
            </w:r>
            <w:r>
              <w:rPr>
                <w:rFonts w:hint="eastAsia" w:ascii="宋体" w:hAnsi="宋体" w:cs="宋体"/>
                <w:sz w:val="24"/>
                <w:szCs w:val="24"/>
              </w:rPr>
              <w:t>孙小英</w:t>
            </w:r>
            <w:r>
              <w:rPr>
                <w:rFonts w:hint="eastAsia" w:ascii="宋体" w:hAnsi="宋体" w:cs="宋体"/>
                <w:bCs/>
                <w:color w:val="000000"/>
                <w:sz w:val="24"/>
                <w:szCs w:val="24"/>
                <w:lang w:val="zh-CN"/>
              </w:rPr>
              <w:t xml:space="preserve">    0431-88664456</w:t>
            </w:r>
          </w:p>
        </w:tc>
      </w:tr>
      <w:tr w14:paraId="63B598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3" w:hRule="atLeast"/>
        </w:trPr>
        <w:tc>
          <w:tcPr>
            <w:tcW w:w="556" w:type="pct"/>
            <w:vAlign w:val="center"/>
          </w:tcPr>
          <w:p w14:paraId="79A9035A">
            <w:pPr>
              <w:autoSpaceDE w:val="0"/>
              <w:autoSpaceDN w:val="0"/>
              <w:adjustRightInd w:val="0"/>
              <w:spacing w:line="360" w:lineRule="auto"/>
              <w:jc w:val="center"/>
              <w:rPr>
                <w:rFonts w:hint="eastAsia" w:ascii="宋体" w:hAnsi="宋体" w:cs="宋体"/>
                <w:bCs/>
                <w:color w:val="000000"/>
                <w:sz w:val="24"/>
                <w:szCs w:val="24"/>
                <w:lang w:val="zh-CN"/>
              </w:rPr>
            </w:pPr>
            <w:r>
              <w:rPr>
                <w:rFonts w:hint="eastAsia" w:ascii="宋体" w:hAnsi="宋体" w:cs="宋体"/>
                <w:bCs/>
                <w:color w:val="000000"/>
                <w:sz w:val="24"/>
                <w:szCs w:val="24"/>
                <w:lang w:val="zh-CN"/>
              </w:rPr>
              <w:t>3</w:t>
            </w:r>
          </w:p>
        </w:tc>
        <w:tc>
          <w:tcPr>
            <w:tcW w:w="1513" w:type="pct"/>
            <w:vAlign w:val="center"/>
          </w:tcPr>
          <w:p w14:paraId="63F293BF">
            <w:pPr>
              <w:autoSpaceDE w:val="0"/>
              <w:autoSpaceDN w:val="0"/>
              <w:adjustRightInd w:val="0"/>
              <w:spacing w:line="360" w:lineRule="auto"/>
              <w:jc w:val="center"/>
              <w:rPr>
                <w:rFonts w:hint="eastAsia" w:ascii="宋体" w:hAnsi="宋体" w:cs="宋体"/>
                <w:bCs/>
                <w:color w:val="000000"/>
                <w:sz w:val="24"/>
                <w:szCs w:val="24"/>
                <w:lang w:val="zh-CN"/>
              </w:rPr>
            </w:pPr>
            <w:r>
              <w:rPr>
                <w:rFonts w:hint="eastAsia" w:ascii="宋体" w:hAnsi="宋体" w:cs="宋体"/>
                <w:bCs/>
                <w:color w:val="000000"/>
                <w:sz w:val="24"/>
                <w:szCs w:val="24"/>
                <w:lang w:val="zh-CN"/>
              </w:rPr>
              <w:t>项目名称及编号</w:t>
            </w:r>
          </w:p>
        </w:tc>
        <w:tc>
          <w:tcPr>
            <w:tcW w:w="2930" w:type="pct"/>
            <w:vAlign w:val="center"/>
          </w:tcPr>
          <w:p w14:paraId="6C1AF08F">
            <w:pPr>
              <w:autoSpaceDE w:val="0"/>
              <w:autoSpaceDN w:val="0"/>
              <w:adjustRightInd w:val="0"/>
              <w:spacing w:line="360" w:lineRule="auto"/>
              <w:rPr>
                <w:rFonts w:hint="eastAsia" w:ascii="宋体" w:hAnsi="宋体" w:cs="宋体"/>
                <w:bCs/>
                <w:color w:val="000000"/>
                <w:sz w:val="24"/>
                <w:szCs w:val="24"/>
                <w:lang w:val="zh-CN"/>
              </w:rPr>
            </w:pPr>
            <w:r>
              <w:rPr>
                <w:rFonts w:hint="eastAsia" w:ascii="宋体" w:hAnsi="宋体" w:cs="宋体"/>
                <w:bCs/>
                <w:color w:val="000000"/>
                <w:sz w:val="24"/>
                <w:szCs w:val="24"/>
                <w:lang w:val="zh-CN"/>
              </w:rPr>
              <w:t>项目名称：</w:t>
            </w:r>
            <w:r>
              <w:rPr>
                <w:rFonts w:hint="eastAsia" w:ascii="宋体" w:hAnsi="宋体" w:cs="宋体"/>
                <w:sz w:val="24"/>
                <w:szCs w:val="24"/>
              </w:rPr>
              <w:t>新能源汽车综合应用实训室建设项目</w:t>
            </w:r>
            <w:r>
              <w:rPr>
                <w:rFonts w:hint="eastAsia" w:ascii="宋体" w:hAnsi="宋体" w:cs="宋体"/>
                <w:bCs/>
                <w:color w:val="000000"/>
                <w:sz w:val="24"/>
                <w:szCs w:val="24"/>
                <w:lang w:val="zh-CN"/>
              </w:rPr>
              <w:t xml:space="preserve"> </w:t>
            </w:r>
          </w:p>
          <w:p w14:paraId="608B868C">
            <w:pPr>
              <w:autoSpaceDE w:val="0"/>
              <w:autoSpaceDN w:val="0"/>
              <w:adjustRightInd w:val="0"/>
              <w:spacing w:line="360" w:lineRule="auto"/>
              <w:rPr>
                <w:rFonts w:hint="eastAsia" w:ascii="宋体" w:hAnsi="宋体" w:cs="宋体"/>
                <w:bCs/>
                <w:color w:val="000000"/>
                <w:sz w:val="24"/>
                <w:szCs w:val="24"/>
                <w:lang w:val="zh-CN"/>
              </w:rPr>
            </w:pPr>
            <w:r>
              <w:rPr>
                <w:rFonts w:hint="eastAsia" w:ascii="宋体" w:hAnsi="宋体" w:cs="宋体"/>
                <w:bCs/>
                <w:color w:val="000000"/>
                <w:sz w:val="24"/>
                <w:szCs w:val="24"/>
                <w:lang w:val="zh-CN"/>
              </w:rPr>
              <w:t>项目编号：</w:t>
            </w:r>
            <w:r>
              <w:fldChar w:fldCharType="begin"/>
            </w:r>
            <w:r>
              <w:instrText xml:space="preserve">HYPERLINK "https://www.zcygov.cn/gaea/api/project/flow/redirect?projectId=7295595741402890312&amp;newUrl=https://www.zcygov.cn/micro-app-back-index/blank?_flow_type_=agency&amp;_flow_projectId_=7295595741402890312&amp;_jump_page_type_=project_procurement_management_flow&amp;_app_=zcy.procurement&amp;oldUrl=https://www.zcygov.cn/project-center/_procurement_/project-result-detail/7295595741402890312" \t "https://www.zcygov.cn/project-center/_procurement_/self-project/_blank"</w:instrText>
            </w:r>
            <w:r>
              <w:fldChar w:fldCharType="separate"/>
            </w:r>
            <w:r>
              <w:rPr>
                <w:rFonts w:hint="eastAsia" w:ascii="宋体" w:hAnsi="宋体" w:cs="宋体"/>
                <w:sz w:val="24"/>
                <w:szCs w:val="24"/>
              </w:rPr>
              <w:t>采购计划-[2025]-01808号-1</w:t>
            </w:r>
            <w:r>
              <w:fldChar w:fldCharType="end"/>
            </w:r>
          </w:p>
        </w:tc>
      </w:tr>
      <w:tr w14:paraId="166FAF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556" w:type="pct"/>
            <w:vAlign w:val="center"/>
          </w:tcPr>
          <w:p w14:paraId="48AB38F0">
            <w:pPr>
              <w:autoSpaceDE w:val="0"/>
              <w:autoSpaceDN w:val="0"/>
              <w:adjustRightInd w:val="0"/>
              <w:spacing w:line="360" w:lineRule="auto"/>
              <w:jc w:val="center"/>
              <w:rPr>
                <w:rFonts w:hint="eastAsia" w:ascii="宋体" w:hAnsi="宋体" w:cs="宋体"/>
                <w:bCs/>
                <w:color w:val="000000"/>
                <w:sz w:val="24"/>
                <w:szCs w:val="24"/>
                <w:lang w:val="zh-CN"/>
              </w:rPr>
            </w:pPr>
            <w:r>
              <w:rPr>
                <w:rFonts w:hint="eastAsia" w:ascii="宋体" w:hAnsi="宋体" w:cs="宋体"/>
                <w:bCs/>
                <w:color w:val="000000"/>
                <w:sz w:val="24"/>
                <w:szCs w:val="24"/>
                <w:lang w:val="zh-CN"/>
              </w:rPr>
              <w:t>4</w:t>
            </w:r>
          </w:p>
        </w:tc>
        <w:tc>
          <w:tcPr>
            <w:tcW w:w="1513" w:type="pct"/>
            <w:vAlign w:val="center"/>
          </w:tcPr>
          <w:p w14:paraId="6BB41A7D">
            <w:pPr>
              <w:autoSpaceDE w:val="0"/>
              <w:autoSpaceDN w:val="0"/>
              <w:adjustRightInd w:val="0"/>
              <w:spacing w:line="360" w:lineRule="auto"/>
              <w:jc w:val="center"/>
              <w:rPr>
                <w:rFonts w:hint="eastAsia" w:ascii="宋体" w:hAnsi="宋体" w:cs="宋体"/>
                <w:bCs/>
                <w:color w:val="000000"/>
                <w:sz w:val="24"/>
                <w:szCs w:val="24"/>
                <w:lang w:val="zh-CN"/>
              </w:rPr>
            </w:pPr>
            <w:r>
              <w:rPr>
                <w:rFonts w:hint="eastAsia" w:ascii="宋体" w:hAnsi="宋体" w:cs="宋体"/>
                <w:bCs/>
                <w:color w:val="000000"/>
                <w:sz w:val="24"/>
                <w:szCs w:val="24"/>
                <w:lang w:val="zh-CN"/>
              </w:rPr>
              <w:t>供货地点</w:t>
            </w:r>
          </w:p>
        </w:tc>
        <w:tc>
          <w:tcPr>
            <w:tcW w:w="2930" w:type="pct"/>
            <w:vAlign w:val="center"/>
          </w:tcPr>
          <w:p w14:paraId="77691C4D">
            <w:pPr>
              <w:spacing w:line="360" w:lineRule="auto"/>
              <w:rPr>
                <w:rFonts w:hint="eastAsia" w:ascii="宋体" w:hAnsi="宋体" w:cs="宋体"/>
                <w:color w:val="000000"/>
                <w:sz w:val="24"/>
                <w:szCs w:val="24"/>
              </w:rPr>
            </w:pPr>
            <w:r>
              <w:rPr>
                <w:rFonts w:hint="eastAsia" w:ascii="宋体" w:hAnsi="宋体" w:cs="宋体"/>
                <w:color w:val="000000"/>
                <w:sz w:val="24"/>
                <w:szCs w:val="24"/>
                <w:lang w:val="zh-CN"/>
              </w:rPr>
              <w:t>吉林省四平市铁东区长发路</w:t>
            </w:r>
            <w:r>
              <w:rPr>
                <w:rFonts w:hint="eastAsia" w:ascii="宋体" w:hAnsi="宋体" w:cs="宋体"/>
                <w:color w:val="000000"/>
                <w:sz w:val="24"/>
                <w:szCs w:val="24"/>
              </w:rPr>
              <w:t>1299号</w:t>
            </w:r>
            <w:r>
              <w:rPr>
                <w:rFonts w:hint="eastAsia" w:ascii="宋体" w:hAnsi="宋体" w:cs="宋体"/>
                <w:color w:val="000000"/>
                <w:sz w:val="24"/>
                <w:szCs w:val="24"/>
                <w:lang w:val="zh-CN"/>
              </w:rPr>
              <w:t>吉林工程职业学院</w:t>
            </w:r>
          </w:p>
        </w:tc>
      </w:tr>
      <w:tr w14:paraId="33F66C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556" w:type="pct"/>
            <w:vAlign w:val="center"/>
          </w:tcPr>
          <w:p w14:paraId="55AFB979">
            <w:pPr>
              <w:autoSpaceDE w:val="0"/>
              <w:autoSpaceDN w:val="0"/>
              <w:adjustRightInd w:val="0"/>
              <w:spacing w:line="360" w:lineRule="auto"/>
              <w:jc w:val="center"/>
              <w:rPr>
                <w:rFonts w:hint="eastAsia" w:ascii="宋体" w:hAnsi="宋体" w:cs="宋体"/>
                <w:bCs/>
                <w:color w:val="000000"/>
                <w:sz w:val="24"/>
                <w:szCs w:val="24"/>
                <w:lang w:val="zh-CN"/>
              </w:rPr>
            </w:pPr>
            <w:r>
              <w:rPr>
                <w:rFonts w:hint="eastAsia" w:ascii="宋体" w:hAnsi="宋体" w:cs="宋体"/>
                <w:bCs/>
                <w:color w:val="000000"/>
                <w:sz w:val="24"/>
                <w:szCs w:val="24"/>
                <w:lang w:val="zh-CN"/>
              </w:rPr>
              <w:t>5</w:t>
            </w:r>
          </w:p>
        </w:tc>
        <w:tc>
          <w:tcPr>
            <w:tcW w:w="1513" w:type="pct"/>
            <w:vAlign w:val="center"/>
          </w:tcPr>
          <w:p w14:paraId="516B48B3">
            <w:pPr>
              <w:autoSpaceDE w:val="0"/>
              <w:autoSpaceDN w:val="0"/>
              <w:adjustRightInd w:val="0"/>
              <w:spacing w:line="360" w:lineRule="auto"/>
              <w:jc w:val="center"/>
              <w:rPr>
                <w:rFonts w:hint="eastAsia" w:ascii="宋体" w:hAnsi="宋体" w:cs="宋体"/>
                <w:bCs/>
                <w:color w:val="000000"/>
                <w:sz w:val="24"/>
                <w:szCs w:val="24"/>
                <w:lang w:val="zh-CN"/>
              </w:rPr>
            </w:pPr>
            <w:r>
              <w:rPr>
                <w:rFonts w:hint="eastAsia" w:ascii="宋体" w:hAnsi="宋体" w:cs="宋体"/>
                <w:bCs/>
                <w:color w:val="000000"/>
                <w:sz w:val="24"/>
                <w:szCs w:val="24"/>
                <w:lang w:val="zh-CN"/>
              </w:rPr>
              <w:t>供货方式</w:t>
            </w:r>
          </w:p>
        </w:tc>
        <w:tc>
          <w:tcPr>
            <w:tcW w:w="2930" w:type="pct"/>
            <w:vAlign w:val="center"/>
          </w:tcPr>
          <w:p w14:paraId="1BD0CA87">
            <w:pPr>
              <w:spacing w:line="360" w:lineRule="auto"/>
              <w:rPr>
                <w:rFonts w:hint="eastAsia" w:ascii="宋体" w:hAnsi="宋体" w:cs="宋体"/>
                <w:color w:val="000000"/>
                <w:sz w:val="24"/>
                <w:szCs w:val="24"/>
              </w:rPr>
            </w:pPr>
            <w:r>
              <w:rPr>
                <w:rFonts w:hint="eastAsia" w:ascii="宋体" w:hAnsi="宋体" w:cs="宋体"/>
                <w:color w:val="000000"/>
                <w:sz w:val="24"/>
                <w:szCs w:val="24"/>
                <w:lang w:val="zh-CN"/>
              </w:rPr>
              <w:t>中标人负责将货物安全完好运抵交货地点、安装调试并保证验收合格</w:t>
            </w:r>
          </w:p>
        </w:tc>
      </w:tr>
      <w:tr w14:paraId="7FC7FD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556" w:type="pct"/>
            <w:vAlign w:val="center"/>
          </w:tcPr>
          <w:p w14:paraId="0FA08045">
            <w:pPr>
              <w:autoSpaceDE w:val="0"/>
              <w:autoSpaceDN w:val="0"/>
              <w:adjustRightInd w:val="0"/>
              <w:spacing w:line="360" w:lineRule="auto"/>
              <w:jc w:val="center"/>
              <w:rPr>
                <w:rFonts w:hint="eastAsia" w:ascii="宋体" w:hAnsi="宋体" w:cs="宋体"/>
                <w:bCs/>
                <w:color w:val="000000"/>
                <w:sz w:val="24"/>
                <w:szCs w:val="24"/>
                <w:lang w:val="zh-CN"/>
              </w:rPr>
            </w:pPr>
            <w:r>
              <w:rPr>
                <w:rFonts w:hint="eastAsia" w:ascii="宋体" w:hAnsi="宋体" w:cs="宋体"/>
                <w:bCs/>
                <w:color w:val="000000"/>
                <w:sz w:val="24"/>
                <w:szCs w:val="24"/>
                <w:lang w:val="zh-CN"/>
              </w:rPr>
              <w:t>6</w:t>
            </w:r>
          </w:p>
        </w:tc>
        <w:tc>
          <w:tcPr>
            <w:tcW w:w="1513" w:type="pct"/>
            <w:vAlign w:val="center"/>
          </w:tcPr>
          <w:p w14:paraId="1B6597F5">
            <w:pPr>
              <w:autoSpaceDE w:val="0"/>
              <w:autoSpaceDN w:val="0"/>
              <w:adjustRightInd w:val="0"/>
              <w:spacing w:line="360" w:lineRule="auto"/>
              <w:jc w:val="center"/>
              <w:rPr>
                <w:rFonts w:hint="eastAsia" w:ascii="宋体" w:hAnsi="宋体" w:cs="宋体"/>
                <w:bCs/>
                <w:color w:val="000000"/>
                <w:sz w:val="24"/>
                <w:szCs w:val="24"/>
                <w:lang w:val="zh-CN"/>
              </w:rPr>
            </w:pPr>
            <w:r>
              <w:rPr>
                <w:rFonts w:hint="eastAsia" w:ascii="宋体" w:hAnsi="宋体" w:cs="宋体"/>
                <w:bCs/>
                <w:color w:val="000000"/>
                <w:sz w:val="24"/>
                <w:szCs w:val="24"/>
                <w:lang w:val="zh-CN"/>
              </w:rPr>
              <w:t>资金来源</w:t>
            </w:r>
          </w:p>
        </w:tc>
        <w:tc>
          <w:tcPr>
            <w:tcW w:w="2930" w:type="pct"/>
            <w:vAlign w:val="center"/>
          </w:tcPr>
          <w:p w14:paraId="23835105">
            <w:pPr>
              <w:autoSpaceDE w:val="0"/>
              <w:autoSpaceDN w:val="0"/>
              <w:adjustRightInd w:val="0"/>
              <w:spacing w:line="360" w:lineRule="auto"/>
              <w:rPr>
                <w:rFonts w:hint="eastAsia" w:ascii="宋体" w:hAnsi="宋体" w:cs="宋体"/>
                <w:bCs/>
                <w:color w:val="000000"/>
                <w:sz w:val="24"/>
                <w:szCs w:val="24"/>
                <w:lang w:val="zh-CN"/>
              </w:rPr>
            </w:pPr>
            <w:r>
              <w:rPr>
                <w:rFonts w:hint="eastAsia" w:ascii="宋体" w:hAnsi="宋体" w:cs="宋体"/>
                <w:bCs/>
                <w:color w:val="000000"/>
                <w:sz w:val="24"/>
                <w:szCs w:val="24"/>
                <w:lang w:val="zh-CN"/>
              </w:rPr>
              <w:t>公共财政预算资金</w:t>
            </w:r>
          </w:p>
        </w:tc>
      </w:tr>
      <w:tr w14:paraId="154E45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556" w:type="pct"/>
            <w:vAlign w:val="center"/>
          </w:tcPr>
          <w:p w14:paraId="36529C9C">
            <w:pPr>
              <w:autoSpaceDE w:val="0"/>
              <w:autoSpaceDN w:val="0"/>
              <w:adjustRightInd w:val="0"/>
              <w:spacing w:line="360" w:lineRule="auto"/>
              <w:jc w:val="center"/>
              <w:rPr>
                <w:rFonts w:hint="eastAsia" w:ascii="宋体" w:hAnsi="宋体" w:cs="宋体"/>
                <w:bCs/>
                <w:color w:val="000000"/>
                <w:sz w:val="24"/>
                <w:szCs w:val="24"/>
                <w:lang w:val="zh-CN"/>
              </w:rPr>
            </w:pPr>
            <w:r>
              <w:rPr>
                <w:rFonts w:hint="eastAsia" w:ascii="宋体" w:hAnsi="宋体" w:cs="宋体"/>
                <w:bCs/>
                <w:color w:val="000000"/>
                <w:sz w:val="24"/>
                <w:szCs w:val="24"/>
                <w:lang w:val="zh-CN"/>
              </w:rPr>
              <w:t>7</w:t>
            </w:r>
          </w:p>
        </w:tc>
        <w:tc>
          <w:tcPr>
            <w:tcW w:w="1513" w:type="pct"/>
            <w:vAlign w:val="center"/>
          </w:tcPr>
          <w:p w14:paraId="1A4EEE4E">
            <w:pPr>
              <w:autoSpaceDE w:val="0"/>
              <w:autoSpaceDN w:val="0"/>
              <w:adjustRightInd w:val="0"/>
              <w:spacing w:line="360" w:lineRule="auto"/>
              <w:jc w:val="center"/>
              <w:rPr>
                <w:rFonts w:hint="eastAsia" w:ascii="宋体" w:hAnsi="宋体" w:cs="宋体"/>
                <w:bCs/>
                <w:color w:val="000000"/>
                <w:sz w:val="24"/>
                <w:szCs w:val="24"/>
                <w:lang w:val="zh-CN"/>
              </w:rPr>
            </w:pPr>
            <w:r>
              <w:rPr>
                <w:rFonts w:hint="eastAsia" w:ascii="宋体" w:hAnsi="宋体" w:cs="宋体"/>
                <w:bCs/>
                <w:color w:val="000000"/>
                <w:sz w:val="24"/>
                <w:szCs w:val="24"/>
                <w:lang w:val="zh-CN"/>
              </w:rPr>
              <w:t>出资比例</w:t>
            </w:r>
          </w:p>
        </w:tc>
        <w:tc>
          <w:tcPr>
            <w:tcW w:w="2930" w:type="pct"/>
            <w:vAlign w:val="center"/>
          </w:tcPr>
          <w:p w14:paraId="6118F3CF">
            <w:pPr>
              <w:autoSpaceDE w:val="0"/>
              <w:autoSpaceDN w:val="0"/>
              <w:adjustRightInd w:val="0"/>
              <w:spacing w:line="360" w:lineRule="auto"/>
              <w:rPr>
                <w:rFonts w:hint="eastAsia" w:ascii="宋体" w:hAnsi="宋体" w:cs="宋体"/>
                <w:bCs/>
                <w:color w:val="000000"/>
                <w:sz w:val="24"/>
                <w:szCs w:val="24"/>
              </w:rPr>
            </w:pPr>
            <w:r>
              <w:rPr>
                <w:rFonts w:hint="eastAsia" w:ascii="宋体" w:hAnsi="宋体" w:cs="宋体"/>
                <w:bCs/>
                <w:color w:val="000000"/>
                <w:sz w:val="24"/>
                <w:szCs w:val="24"/>
                <w:lang w:val="zh-CN"/>
              </w:rPr>
              <w:t>100%</w:t>
            </w:r>
          </w:p>
        </w:tc>
      </w:tr>
      <w:tr w14:paraId="7F51EA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556" w:type="pct"/>
            <w:vAlign w:val="center"/>
          </w:tcPr>
          <w:p w14:paraId="76C7A93E">
            <w:pPr>
              <w:autoSpaceDE w:val="0"/>
              <w:autoSpaceDN w:val="0"/>
              <w:adjustRightInd w:val="0"/>
              <w:spacing w:line="360" w:lineRule="auto"/>
              <w:jc w:val="center"/>
              <w:rPr>
                <w:rFonts w:hint="eastAsia" w:ascii="宋体" w:hAnsi="宋体" w:cs="宋体"/>
                <w:bCs/>
                <w:color w:val="000000"/>
                <w:sz w:val="24"/>
                <w:szCs w:val="24"/>
                <w:lang w:val="zh-CN"/>
              </w:rPr>
            </w:pPr>
            <w:r>
              <w:rPr>
                <w:rFonts w:hint="eastAsia" w:ascii="宋体" w:hAnsi="宋体" w:cs="宋体"/>
                <w:bCs/>
                <w:color w:val="000000"/>
                <w:sz w:val="24"/>
                <w:szCs w:val="24"/>
                <w:lang w:val="zh-CN"/>
              </w:rPr>
              <w:t>8</w:t>
            </w:r>
          </w:p>
        </w:tc>
        <w:tc>
          <w:tcPr>
            <w:tcW w:w="1513" w:type="pct"/>
            <w:vAlign w:val="center"/>
          </w:tcPr>
          <w:p w14:paraId="64B4B305">
            <w:pPr>
              <w:autoSpaceDE w:val="0"/>
              <w:autoSpaceDN w:val="0"/>
              <w:adjustRightInd w:val="0"/>
              <w:spacing w:line="360" w:lineRule="auto"/>
              <w:jc w:val="center"/>
              <w:rPr>
                <w:rFonts w:hint="eastAsia" w:ascii="宋体" w:hAnsi="宋体" w:cs="宋体"/>
                <w:bCs/>
                <w:color w:val="000000"/>
                <w:sz w:val="24"/>
                <w:szCs w:val="24"/>
                <w:lang w:val="zh-CN"/>
              </w:rPr>
            </w:pPr>
            <w:r>
              <w:rPr>
                <w:rFonts w:hint="eastAsia" w:ascii="宋体" w:hAnsi="宋体" w:cs="宋体"/>
                <w:bCs/>
                <w:color w:val="000000"/>
                <w:sz w:val="24"/>
                <w:szCs w:val="24"/>
                <w:lang w:val="zh-CN"/>
              </w:rPr>
              <w:t>资金落实情况</w:t>
            </w:r>
          </w:p>
        </w:tc>
        <w:tc>
          <w:tcPr>
            <w:tcW w:w="2930" w:type="pct"/>
            <w:vAlign w:val="center"/>
          </w:tcPr>
          <w:p w14:paraId="0344BEA1">
            <w:pPr>
              <w:autoSpaceDE w:val="0"/>
              <w:autoSpaceDN w:val="0"/>
              <w:adjustRightInd w:val="0"/>
              <w:spacing w:line="360" w:lineRule="auto"/>
              <w:rPr>
                <w:rFonts w:hint="eastAsia" w:ascii="宋体" w:hAnsi="宋体" w:cs="宋体"/>
                <w:bCs/>
                <w:color w:val="000000"/>
                <w:sz w:val="24"/>
                <w:szCs w:val="24"/>
                <w:lang w:val="zh-CN"/>
              </w:rPr>
            </w:pPr>
            <w:r>
              <w:rPr>
                <w:rFonts w:hint="eastAsia" w:ascii="宋体" w:hAnsi="宋体" w:cs="宋体"/>
                <w:bCs/>
                <w:color w:val="000000"/>
                <w:sz w:val="24"/>
                <w:szCs w:val="24"/>
                <w:lang w:val="zh-CN"/>
              </w:rPr>
              <w:t>已落实</w:t>
            </w:r>
          </w:p>
        </w:tc>
      </w:tr>
      <w:tr w14:paraId="024997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9" w:hRule="atLeast"/>
        </w:trPr>
        <w:tc>
          <w:tcPr>
            <w:tcW w:w="556" w:type="pct"/>
            <w:vAlign w:val="center"/>
          </w:tcPr>
          <w:p w14:paraId="04B02D0D">
            <w:pPr>
              <w:autoSpaceDE w:val="0"/>
              <w:autoSpaceDN w:val="0"/>
              <w:adjustRightInd w:val="0"/>
              <w:spacing w:line="360" w:lineRule="auto"/>
              <w:jc w:val="center"/>
              <w:rPr>
                <w:rFonts w:hint="eastAsia" w:ascii="宋体" w:hAnsi="宋体" w:cs="宋体"/>
                <w:bCs/>
                <w:color w:val="000000"/>
                <w:sz w:val="24"/>
                <w:szCs w:val="24"/>
                <w:lang w:val="zh-CN"/>
              </w:rPr>
            </w:pPr>
            <w:r>
              <w:rPr>
                <w:rFonts w:hint="eastAsia" w:ascii="宋体" w:hAnsi="宋体" w:cs="宋体"/>
                <w:bCs/>
                <w:color w:val="000000"/>
                <w:sz w:val="24"/>
                <w:szCs w:val="24"/>
                <w:lang w:val="zh-CN"/>
              </w:rPr>
              <w:t>9</w:t>
            </w:r>
          </w:p>
        </w:tc>
        <w:tc>
          <w:tcPr>
            <w:tcW w:w="1513" w:type="pct"/>
            <w:vAlign w:val="center"/>
          </w:tcPr>
          <w:p w14:paraId="75BD06FD">
            <w:pPr>
              <w:autoSpaceDE w:val="0"/>
              <w:autoSpaceDN w:val="0"/>
              <w:adjustRightInd w:val="0"/>
              <w:spacing w:line="360" w:lineRule="auto"/>
              <w:jc w:val="center"/>
              <w:rPr>
                <w:rFonts w:hint="eastAsia" w:ascii="宋体" w:hAnsi="宋体" w:cs="宋体"/>
                <w:bCs/>
                <w:color w:val="000000"/>
                <w:sz w:val="24"/>
                <w:szCs w:val="24"/>
                <w:lang w:val="zh-CN"/>
              </w:rPr>
            </w:pPr>
            <w:r>
              <w:rPr>
                <w:rFonts w:hint="eastAsia" w:ascii="宋体" w:hAnsi="宋体" w:cs="宋体"/>
                <w:bCs/>
                <w:color w:val="000000"/>
                <w:sz w:val="24"/>
                <w:szCs w:val="24"/>
                <w:lang w:val="zh-CN"/>
              </w:rPr>
              <w:t>采购需求</w:t>
            </w:r>
          </w:p>
        </w:tc>
        <w:tc>
          <w:tcPr>
            <w:tcW w:w="2930" w:type="pct"/>
            <w:vAlign w:val="center"/>
          </w:tcPr>
          <w:p w14:paraId="6FC20BBF">
            <w:pPr>
              <w:spacing w:line="360" w:lineRule="auto"/>
              <w:rPr>
                <w:rFonts w:hint="eastAsia" w:ascii="宋体" w:hAnsi="宋体" w:cs="宋体"/>
                <w:bCs/>
                <w:color w:val="000000"/>
                <w:sz w:val="24"/>
                <w:szCs w:val="24"/>
              </w:rPr>
            </w:pPr>
            <w:r>
              <w:rPr>
                <w:rFonts w:hint="eastAsia" w:ascii="宋体" w:hAnsi="宋体" w:cs="宋体"/>
                <w:sz w:val="24"/>
                <w:szCs w:val="24"/>
              </w:rPr>
              <w:t>新能源汽车实训设备等</w:t>
            </w:r>
            <w:r>
              <w:rPr>
                <w:rFonts w:hint="eastAsia" w:ascii="宋体" w:hAnsi="宋体" w:cs="宋体"/>
                <w:sz w:val="24"/>
                <w:szCs w:val="24"/>
                <w:lang w:val="zh-CN"/>
              </w:rPr>
              <w:t>，</w:t>
            </w:r>
            <w:r>
              <w:rPr>
                <w:rFonts w:hint="eastAsia" w:ascii="宋体" w:hAnsi="宋体" w:cs="宋体"/>
                <w:sz w:val="24"/>
                <w:szCs w:val="24"/>
              </w:rPr>
              <w:t>具体</w:t>
            </w:r>
            <w:r>
              <w:rPr>
                <w:rFonts w:hint="eastAsia" w:ascii="宋体" w:hAnsi="宋体" w:cs="宋体"/>
                <w:sz w:val="24"/>
                <w:szCs w:val="24"/>
                <w:lang w:val="zh-CN"/>
              </w:rPr>
              <w:t>详见招标文件</w:t>
            </w:r>
          </w:p>
        </w:tc>
      </w:tr>
      <w:tr w14:paraId="088EEB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556" w:type="pct"/>
            <w:vAlign w:val="center"/>
          </w:tcPr>
          <w:p w14:paraId="5C4D6480">
            <w:pPr>
              <w:autoSpaceDE w:val="0"/>
              <w:autoSpaceDN w:val="0"/>
              <w:adjustRightInd w:val="0"/>
              <w:spacing w:line="360" w:lineRule="auto"/>
              <w:jc w:val="center"/>
              <w:rPr>
                <w:rFonts w:hint="eastAsia" w:ascii="宋体" w:hAnsi="宋体" w:cs="宋体"/>
                <w:bCs/>
                <w:color w:val="000000"/>
                <w:sz w:val="24"/>
                <w:szCs w:val="24"/>
                <w:lang w:val="zh-CN"/>
              </w:rPr>
            </w:pPr>
            <w:r>
              <w:rPr>
                <w:rFonts w:hint="eastAsia" w:ascii="宋体" w:hAnsi="宋体" w:cs="宋体"/>
                <w:bCs/>
                <w:color w:val="000000"/>
                <w:sz w:val="24"/>
                <w:szCs w:val="24"/>
                <w:lang w:val="zh-CN"/>
              </w:rPr>
              <w:t>10</w:t>
            </w:r>
          </w:p>
        </w:tc>
        <w:tc>
          <w:tcPr>
            <w:tcW w:w="1513" w:type="pct"/>
            <w:vAlign w:val="center"/>
          </w:tcPr>
          <w:p w14:paraId="20155E5E">
            <w:pPr>
              <w:autoSpaceDE w:val="0"/>
              <w:autoSpaceDN w:val="0"/>
              <w:adjustRightInd w:val="0"/>
              <w:spacing w:line="360" w:lineRule="auto"/>
              <w:jc w:val="center"/>
              <w:rPr>
                <w:rFonts w:hint="eastAsia" w:ascii="宋体" w:hAnsi="宋体" w:cs="宋体"/>
                <w:bCs/>
                <w:sz w:val="24"/>
                <w:szCs w:val="24"/>
                <w:lang w:val="zh-CN"/>
              </w:rPr>
            </w:pPr>
            <w:r>
              <w:rPr>
                <w:rFonts w:hint="eastAsia" w:ascii="宋体" w:hAnsi="宋体" w:cs="宋体"/>
                <w:bCs/>
                <w:sz w:val="24"/>
                <w:szCs w:val="24"/>
                <w:lang w:val="zh-CN"/>
              </w:rPr>
              <w:t>合同履行期限（</w:t>
            </w:r>
            <w:r>
              <w:rPr>
                <w:rFonts w:hint="eastAsia" w:ascii="宋体" w:hAnsi="宋体" w:cs="宋体"/>
                <w:bCs/>
                <w:sz w:val="24"/>
                <w:szCs w:val="24"/>
              </w:rPr>
              <w:t>供货时间</w:t>
            </w:r>
            <w:r>
              <w:rPr>
                <w:rFonts w:hint="eastAsia" w:ascii="宋体" w:hAnsi="宋体" w:cs="宋体"/>
                <w:bCs/>
                <w:sz w:val="24"/>
                <w:szCs w:val="24"/>
                <w:lang w:val="zh-CN"/>
              </w:rPr>
              <w:t>）</w:t>
            </w:r>
          </w:p>
        </w:tc>
        <w:tc>
          <w:tcPr>
            <w:tcW w:w="2930" w:type="pct"/>
            <w:vAlign w:val="center"/>
          </w:tcPr>
          <w:p w14:paraId="6ED1FAC9">
            <w:pPr>
              <w:autoSpaceDE w:val="0"/>
              <w:autoSpaceDN w:val="0"/>
              <w:adjustRightInd w:val="0"/>
              <w:spacing w:line="360" w:lineRule="auto"/>
              <w:rPr>
                <w:rFonts w:hint="eastAsia" w:ascii="宋体" w:hAnsi="宋体" w:cs="宋体"/>
                <w:bCs/>
                <w:sz w:val="24"/>
                <w:szCs w:val="24"/>
                <w:lang w:val="zh-CN"/>
              </w:rPr>
            </w:pPr>
            <w:r>
              <w:rPr>
                <w:rFonts w:hint="eastAsia" w:ascii="宋体" w:hAnsi="宋体" w:cs="宋体"/>
                <w:bCs/>
                <w:sz w:val="24"/>
                <w:szCs w:val="24"/>
                <w:lang w:val="zh-CN"/>
              </w:rPr>
              <w:t>合同订立后45天</w:t>
            </w:r>
          </w:p>
        </w:tc>
      </w:tr>
      <w:tr w14:paraId="47474D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556" w:type="pct"/>
            <w:vAlign w:val="center"/>
          </w:tcPr>
          <w:p w14:paraId="6DEE7348">
            <w:pPr>
              <w:autoSpaceDE w:val="0"/>
              <w:autoSpaceDN w:val="0"/>
              <w:adjustRightInd w:val="0"/>
              <w:spacing w:line="360" w:lineRule="auto"/>
              <w:jc w:val="center"/>
              <w:rPr>
                <w:rFonts w:hint="eastAsia" w:ascii="宋体" w:hAnsi="宋体" w:cs="宋体"/>
                <w:bCs/>
                <w:color w:val="000000"/>
                <w:sz w:val="24"/>
                <w:szCs w:val="24"/>
                <w:lang w:val="zh-CN"/>
              </w:rPr>
            </w:pPr>
            <w:r>
              <w:rPr>
                <w:rFonts w:hint="eastAsia" w:ascii="宋体" w:hAnsi="宋体" w:cs="宋体"/>
                <w:bCs/>
                <w:color w:val="000000"/>
                <w:sz w:val="24"/>
                <w:szCs w:val="24"/>
                <w:lang w:val="zh-CN"/>
              </w:rPr>
              <w:t>11</w:t>
            </w:r>
          </w:p>
        </w:tc>
        <w:tc>
          <w:tcPr>
            <w:tcW w:w="1513" w:type="pct"/>
            <w:vAlign w:val="center"/>
          </w:tcPr>
          <w:p w14:paraId="6FC977CE">
            <w:pPr>
              <w:autoSpaceDE w:val="0"/>
              <w:autoSpaceDN w:val="0"/>
              <w:adjustRightInd w:val="0"/>
              <w:spacing w:line="360" w:lineRule="auto"/>
              <w:jc w:val="center"/>
              <w:rPr>
                <w:rFonts w:hint="eastAsia" w:ascii="宋体" w:hAnsi="宋体" w:cs="宋体"/>
                <w:bCs/>
                <w:color w:val="000000"/>
                <w:sz w:val="24"/>
                <w:szCs w:val="24"/>
                <w:lang w:val="zh-CN"/>
              </w:rPr>
            </w:pPr>
            <w:r>
              <w:rPr>
                <w:rFonts w:hint="eastAsia" w:ascii="宋体" w:hAnsi="宋体" w:cs="宋体"/>
                <w:bCs/>
                <w:color w:val="000000"/>
                <w:sz w:val="24"/>
                <w:szCs w:val="24"/>
                <w:lang w:val="zh-CN"/>
              </w:rPr>
              <w:t>质量要求</w:t>
            </w:r>
          </w:p>
        </w:tc>
        <w:tc>
          <w:tcPr>
            <w:tcW w:w="2930" w:type="pct"/>
            <w:vAlign w:val="center"/>
          </w:tcPr>
          <w:p w14:paraId="1F061459">
            <w:pPr>
              <w:autoSpaceDE w:val="0"/>
              <w:autoSpaceDN w:val="0"/>
              <w:adjustRightInd w:val="0"/>
              <w:spacing w:line="360" w:lineRule="auto"/>
              <w:rPr>
                <w:rFonts w:hint="eastAsia" w:ascii="宋体" w:hAnsi="宋体" w:cs="宋体"/>
                <w:bCs/>
                <w:color w:val="000000"/>
                <w:sz w:val="24"/>
                <w:szCs w:val="24"/>
                <w:lang w:val="zh-CN"/>
              </w:rPr>
            </w:pPr>
            <w:r>
              <w:rPr>
                <w:rFonts w:hint="eastAsia" w:ascii="宋体" w:hAnsi="宋体" w:cs="宋体"/>
                <w:bCs/>
                <w:color w:val="000000"/>
                <w:sz w:val="24"/>
                <w:szCs w:val="24"/>
                <w:lang w:val="zh-CN"/>
              </w:rPr>
              <w:t>符合国家及行业现行质量验收标准。</w:t>
            </w:r>
          </w:p>
        </w:tc>
      </w:tr>
      <w:tr w14:paraId="266529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2" w:hRule="atLeast"/>
        </w:trPr>
        <w:tc>
          <w:tcPr>
            <w:tcW w:w="556" w:type="pct"/>
            <w:vAlign w:val="center"/>
          </w:tcPr>
          <w:p w14:paraId="1569D0E9">
            <w:pPr>
              <w:autoSpaceDE w:val="0"/>
              <w:autoSpaceDN w:val="0"/>
              <w:adjustRightInd w:val="0"/>
              <w:spacing w:line="360" w:lineRule="auto"/>
              <w:jc w:val="center"/>
              <w:rPr>
                <w:rFonts w:hint="eastAsia" w:ascii="宋体" w:hAnsi="宋体" w:cs="宋体"/>
                <w:bCs/>
                <w:color w:val="000000"/>
                <w:sz w:val="24"/>
                <w:szCs w:val="24"/>
                <w:lang w:val="zh-CN"/>
              </w:rPr>
            </w:pPr>
            <w:r>
              <w:rPr>
                <w:rFonts w:hint="eastAsia" w:ascii="宋体" w:hAnsi="宋体" w:cs="宋体"/>
                <w:bCs/>
                <w:color w:val="000000"/>
                <w:sz w:val="24"/>
                <w:szCs w:val="24"/>
                <w:lang w:val="zh-CN"/>
              </w:rPr>
              <w:t>12</w:t>
            </w:r>
          </w:p>
        </w:tc>
        <w:tc>
          <w:tcPr>
            <w:tcW w:w="1513" w:type="pct"/>
            <w:vAlign w:val="center"/>
          </w:tcPr>
          <w:p w14:paraId="17802847">
            <w:pPr>
              <w:autoSpaceDE w:val="0"/>
              <w:autoSpaceDN w:val="0"/>
              <w:adjustRightInd w:val="0"/>
              <w:spacing w:line="360" w:lineRule="auto"/>
              <w:jc w:val="center"/>
              <w:rPr>
                <w:rFonts w:hint="eastAsia" w:ascii="宋体" w:hAnsi="宋体" w:cs="宋体"/>
                <w:bCs/>
                <w:color w:val="000000"/>
                <w:sz w:val="24"/>
                <w:szCs w:val="24"/>
                <w:lang w:val="zh-CN"/>
              </w:rPr>
            </w:pPr>
            <w:r>
              <w:rPr>
                <w:rFonts w:hint="eastAsia" w:ascii="宋体" w:hAnsi="宋体" w:cs="宋体"/>
                <w:bCs/>
                <w:color w:val="000000"/>
                <w:sz w:val="24"/>
                <w:szCs w:val="24"/>
                <w:lang w:val="zh-CN"/>
              </w:rPr>
              <w:t>投标人资质条件、能力和信誉</w:t>
            </w:r>
          </w:p>
        </w:tc>
        <w:tc>
          <w:tcPr>
            <w:tcW w:w="2930" w:type="pct"/>
          </w:tcPr>
          <w:p w14:paraId="2A95F706">
            <w:pPr>
              <w:spacing w:line="360" w:lineRule="auto"/>
              <w:rPr>
                <w:rFonts w:hint="eastAsia" w:ascii="宋体" w:hAnsi="宋体" w:cs="宋体"/>
                <w:color w:val="000000"/>
                <w:sz w:val="24"/>
                <w:szCs w:val="24"/>
              </w:rPr>
            </w:pPr>
            <w:r>
              <w:rPr>
                <w:rFonts w:hint="eastAsia" w:ascii="宋体" w:hAnsi="宋体" w:cs="宋体"/>
                <w:color w:val="000000"/>
                <w:sz w:val="24"/>
                <w:szCs w:val="24"/>
              </w:rPr>
              <w:t>12.1满足《中华人民共和国政府采购法》第二十二条规定</w:t>
            </w:r>
          </w:p>
          <w:p w14:paraId="563262BE">
            <w:pPr>
              <w:spacing w:line="360" w:lineRule="auto"/>
              <w:rPr>
                <w:rFonts w:hint="eastAsia" w:ascii="宋体" w:hAnsi="宋体" w:cs="宋体"/>
                <w:color w:val="000000"/>
                <w:sz w:val="24"/>
                <w:szCs w:val="24"/>
              </w:rPr>
            </w:pPr>
            <w:r>
              <w:rPr>
                <w:rFonts w:hint="eastAsia" w:ascii="宋体" w:hAnsi="宋体" w:cs="宋体"/>
                <w:color w:val="000000"/>
                <w:sz w:val="24"/>
                <w:szCs w:val="24"/>
              </w:rPr>
              <w:t>12.2落实政府采购政策需满足的资格要求：本项目专门面向中小企业采购，详见招标文件。</w:t>
            </w:r>
          </w:p>
          <w:p w14:paraId="6602EA63">
            <w:pPr>
              <w:spacing w:line="360" w:lineRule="auto"/>
              <w:rPr>
                <w:rFonts w:hint="eastAsia" w:ascii="宋体" w:hAnsi="宋体" w:cs="宋体"/>
                <w:color w:val="000000"/>
                <w:sz w:val="24"/>
                <w:szCs w:val="24"/>
              </w:rPr>
            </w:pPr>
            <w:r>
              <w:rPr>
                <w:rFonts w:hint="eastAsia" w:ascii="宋体" w:hAnsi="宋体" w:cs="宋体"/>
                <w:color w:val="000000"/>
                <w:sz w:val="24"/>
                <w:szCs w:val="24"/>
              </w:rPr>
              <w:t>12.3投标人须是在中华人民共和国境内注册，能够独立承担民事责任的法人或其他组织形式</w:t>
            </w:r>
          </w:p>
          <w:p w14:paraId="18E6D03A">
            <w:pPr>
              <w:spacing w:line="360" w:lineRule="auto"/>
              <w:rPr>
                <w:rFonts w:hint="eastAsia" w:ascii="宋体" w:hAnsi="宋体" w:cs="宋体"/>
                <w:color w:val="000000"/>
                <w:sz w:val="24"/>
                <w:szCs w:val="24"/>
              </w:rPr>
            </w:pPr>
            <w:r>
              <w:rPr>
                <w:rFonts w:hint="eastAsia" w:ascii="宋体" w:hAnsi="宋体" w:cs="宋体"/>
                <w:color w:val="000000"/>
                <w:sz w:val="24"/>
                <w:szCs w:val="24"/>
              </w:rPr>
              <w:t>12.4具有良好的商业信誉和健全的财务</w:t>
            </w:r>
            <w:r>
              <w:fldChar w:fldCharType="begin"/>
            </w:r>
            <w:r>
              <w:instrText xml:space="preserve">HYPERLINK "https://baike.so.com/doc/388251-411081.html" \t "_blank"</w:instrText>
            </w:r>
            <w:r>
              <w:fldChar w:fldCharType="separate"/>
            </w:r>
            <w:r>
              <w:rPr>
                <w:rFonts w:hint="eastAsia" w:ascii="宋体" w:hAnsi="宋体" w:cs="宋体"/>
                <w:color w:val="000000"/>
                <w:sz w:val="24"/>
                <w:szCs w:val="24"/>
              </w:rPr>
              <w:t>会计制度</w:t>
            </w:r>
            <w:r>
              <w:fldChar w:fldCharType="end"/>
            </w:r>
            <w:r>
              <w:rPr>
                <w:rFonts w:hint="eastAsia" w:ascii="宋体" w:hAnsi="宋体" w:cs="宋体"/>
                <w:color w:val="000000"/>
                <w:sz w:val="24"/>
                <w:szCs w:val="24"/>
              </w:rPr>
              <w:t>，提供经第三方会计师事务所审计的2023年完整有效的企业财务审计报告或提供其基本开户银行在投标截止日前，六个月内出具的资信证明（银行出具的存款证明不能替代银行资信证明）；</w:t>
            </w:r>
          </w:p>
          <w:p w14:paraId="69CF0900">
            <w:pPr>
              <w:spacing w:line="360" w:lineRule="auto"/>
              <w:rPr>
                <w:rFonts w:hint="eastAsia" w:ascii="宋体" w:hAnsi="宋体" w:cs="宋体"/>
                <w:color w:val="000000"/>
                <w:sz w:val="24"/>
                <w:szCs w:val="24"/>
              </w:rPr>
            </w:pPr>
            <w:r>
              <w:rPr>
                <w:rFonts w:hint="eastAsia" w:ascii="宋体" w:hAnsi="宋体" w:cs="宋体"/>
                <w:color w:val="000000"/>
                <w:sz w:val="24"/>
                <w:szCs w:val="24"/>
              </w:rPr>
              <w:t>12.5具有履行合同所必需的设备和专业技术能力；</w:t>
            </w:r>
          </w:p>
          <w:p w14:paraId="46992D3A">
            <w:pPr>
              <w:spacing w:line="360" w:lineRule="auto"/>
              <w:rPr>
                <w:rFonts w:hint="eastAsia" w:ascii="宋体" w:hAnsi="宋体" w:cs="宋体"/>
                <w:color w:val="000000"/>
                <w:sz w:val="24"/>
                <w:szCs w:val="24"/>
              </w:rPr>
            </w:pPr>
            <w:r>
              <w:rPr>
                <w:rFonts w:hint="eastAsia" w:ascii="宋体" w:hAnsi="宋体" w:cs="宋体"/>
                <w:color w:val="000000"/>
                <w:sz w:val="24"/>
                <w:szCs w:val="24"/>
              </w:rPr>
              <w:t>12.6依法缴纳税收的良好记录，提供投标截止日前，一年内任一月份的缴税凭据或完税证明等；依法免税的，应提供相应文件证明其依法免税；</w:t>
            </w:r>
          </w:p>
          <w:p w14:paraId="7D68D6F1">
            <w:pPr>
              <w:spacing w:line="360" w:lineRule="auto"/>
              <w:rPr>
                <w:rFonts w:hint="eastAsia" w:ascii="宋体" w:hAnsi="宋体" w:cs="宋体"/>
                <w:color w:val="000000"/>
                <w:sz w:val="24"/>
                <w:szCs w:val="24"/>
              </w:rPr>
            </w:pPr>
            <w:r>
              <w:rPr>
                <w:rFonts w:hint="eastAsia" w:ascii="宋体" w:hAnsi="宋体" w:cs="宋体"/>
                <w:color w:val="000000"/>
                <w:sz w:val="24"/>
                <w:szCs w:val="24"/>
              </w:rPr>
              <w:t>12.7依法缴纳社会保障资金的良好记录，提供投标截止日前，一年内任一月份缴纳社会保险的凭据；依法不需要缴纳社会保险的，应提供相应文件证明其依法不需要缴纳社会保险；</w:t>
            </w:r>
          </w:p>
          <w:p w14:paraId="3A0AE9B1">
            <w:pPr>
              <w:spacing w:line="360" w:lineRule="auto"/>
              <w:rPr>
                <w:rFonts w:hint="eastAsia" w:ascii="宋体" w:hAnsi="宋体" w:cs="宋体"/>
                <w:color w:val="000000"/>
                <w:sz w:val="24"/>
                <w:szCs w:val="24"/>
              </w:rPr>
            </w:pPr>
            <w:r>
              <w:rPr>
                <w:rFonts w:hint="eastAsia" w:ascii="宋体" w:hAnsi="宋体" w:cs="宋体"/>
                <w:color w:val="000000"/>
                <w:sz w:val="24"/>
                <w:szCs w:val="24"/>
              </w:rPr>
              <w:t>12.8参加政府采购活动前三年内，在经营活动中没有重大违法记录；</w:t>
            </w:r>
          </w:p>
          <w:p w14:paraId="4FB3F4CE">
            <w:pPr>
              <w:spacing w:line="360" w:lineRule="auto"/>
              <w:rPr>
                <w:rFonts w:hint="eastAsia" w:ascii="宋体" w:hAnsi="宋体" w:cs="宋体"/>
                <w:color w:val="000000"/>
                <w:sz w:val="24"/>
                <w:szCs w:val="24"/>
              </w:rPr>
            </w:pPr>
            <w:r>
              <w:rPr>
                <w:rFonts w:hint="eastAsia" w:ascii="宋体" w:hAnsi="宋体" w:cs="宋体"/>
                <w:color w:val="000000"/>
                <w:sz w:val="24"/>
                <w:szCs w:val="24"/>
              </w:rPr>
              <w:t>12.9拒绝列入政府取消投标资格记录期间的企业或个人投标；</w:t>
            </w:r>
          </w:p>
          <w:p w14:paraId="45C363F1">
            <w:pPr>
              <w:spacing w:line="360" w:lineRule="auto"/>
              <w:rPr>
                <w:rFonts w:hint="eastAsia" w:ascii="宋体" w:hAnsi="宋体" w:cs="宋体"/>
                <w:color w:val="000000"/>
                <w:sz w:val="24"/>
                <w:szCs w:val="24"/>
              </w:rPr>
            </w:pPr>
            <w:r>
              <w:rPr>
                <w:rFonts w:hint="eastAsia" w:ascii="宋体" w:hAnsi="宋体" w:cs="宋体"/>
                <w:color w:val="000000"/>
                <w:sz w:val="24"/>
                <w:szCs w:val="24"/>
              </w:rPr>
              <w:t>12.10投标人不能列入失信被执行人、重大税收违法失信主体、政府采购严重违法失信行为记录名单，查询请依据财库【2016】125号文件。</w:t>
            </w:r>
          </w:p>
          <w:p w14:paraId="73DDFDF9">
            <w:pPr>
              <w:spacing w:line="360" w:lineRule="auto"/>
              <w:rPr>
                <w:rFonts w:hint="eastAsia" w:ascii="宋体" w:hAnsi="宋体" w:cs="宋体"/>
                <w:color w:val="000000"/>
                <w:sz w:val="24"/>
                <w:szCs w:val="24"/>
                <w:lang w:val="zh-CN"/>
              </w:rPr>
            </w:pPr>
            <w:r>
              <w:rPr>
                <w:rFonts w:hint="eastAsia" w:ascii="宋体" w:hAnsi="宋体" w:cs="宋体"/>
                <w:color w:val="000000"/>
                <w:sz w:val="24"/>
                <w:szCs w:val="24"/>
              </w:rPr>
              <w:t>12.11与采购人存在利害关系可能影响招标公正性的法人、其他组织或者个人，不得参加投标。单位负责人为同一人或者存在控股、管理关系的不同单位，不得参加同一标段投标或者未划分标段的同一招标项目投标。违反这两款规定的，相关投标应当被否决。</w:t>
            </w:r>
          </w:p>
        </w:tc>
      </w:tr>
      <w:tr w14:paraId="628A14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556" w:type="pct"/>
            <w:vAlign w:val="center"/>
          </w:tcPr>
          <w:p w14:paraId="11E696CD">
            <w:pPr>
              <w:autoSpaceDE w:val="0"/>
              <w:autoSpaceDN w:val="0"/>
              <w:adjustRightInd w:val="0"/>
              <w:spacing w:line="360" w:lineRule="auto"/>
              <w:jc w:val="center"/>
              <w:rPr>
                <w:rFonts w:hint="eastAsia" w:ascii="宋体" w:hAnsi="宋体" w:cs="宋体"/>
                <w:bCs/>
                <w:color w:val="000000"/>
                <w:sz w:val="24"/>
                <w:szCs w:val="24"/>
                <w:lang w:val="zh-CN"/>
              </w:rPr>
            </w:pPr>
            <w:r>
              <w:rPr>
                <w:rFonts w:hint="eastAsia" w:ascii="宋体" w:hAnsi="宋体" w:cs="宋体"/>
                <w:bCs/>
                <w:color w:val="000000"/>
                <w:sz w:val="24"/>
                <w:szCs w:val="24"/>
                <w:lang w:val="zh-CN"/>
              </w:rPr>
              <w:t>13</w:t>
            </w:r>
          </w:p>
        </w:tc>
        <w:tc>
          <w:tcPr>
            <w:tcW w:w="1513" w:type="pct"/>
            <w:vAlign w:val="center"/>
          </w:tcPr>
          <w:p w14:paraId="5633ED78">
            <w:pPr>
              <w:autoSpaceDE w:val="0"/>
              <w:autoSpaceDN w:val="0"/>
              <w:adjustRightInd w:val="0"/>
              <w:spacing w:line="360" w:lineRule="auto"/>
              <w:jc w:val="center"/>
              <w:rPr>
                <w:rFonts w:hint="eastAsia" w:ascii="宋体" w:hAnsi="宋体" w:cs="宋体"/>
                <w:bCs/>
                <w:color w:val="000000"/>
                <w:sz w:val="24"/>
                <w:szCs w:val="24"/>
                <w:lang w:val="zh-CN"/>
              </w:rPr>
            </w:pPr>
            <w:r>
              <w:rPr>
                <w:rFonts w:hint="eastAsia" w:ascii="宋体" w:hAnsi="宋体" w:cs="宋体"/>
                <w:bCs/>
                <w:color w:val="000000"/>
                <w:sz w:val="24"/>
                <w:szCs w:val="24"/>
                <w:lang w:val="zh-CN"/>
              </w:rPr>
              <w:t>是否接受联合体投标</w:t>
            </w:r>
          </w:p>
        </w:tc>
        <w:tc>
          <w:tcPr>
            <w:tcW w:w="2930" w:type="pct"/>
            <w:vAlign w:val="center"/>
          </w:tcPr>
          <w:p w14:paraId="2129FAE0">
            <w:pPr>
              <w:widowControl/>
              <w:adjustRightInd w:val="0"/>
              <w:spacing w:line="360" w:lineRule="auto"/>
              <w:jc w:val="left"/>
              <w:rPr>
                <w:rFonts w:hint="eastAsia" w:ascii="宋体" w:hAnsi="宋体" w:cs="宋体"/>
                <w:color w:val="000000"/>
                <w:kern w:val="0"/>
                <w:sz w:val="24"/>
                <w:szCs w:val="24"/>
              </w:rPr>
            </w:pPr>
            <w:r>
              <w:rPr>
                <w:rFonts w:hint="eastAsia" w:ascii="宋体" w:hAnsi="宋体" w:cs="宋体"/>
                <w:bCs/>
                <w:color w:val="000000"/>
                <w:sz w:val="24"/>
                <w:szCs w:val="24"/>
                <w:lang w:val="zh-CN"/>
              </w:rPr>
              <w:t>不接受</w:t>
            </w:r>
          </w:p>
        </w:tc>
      </w:tr>
      <w:tr w14:paraId="0D0898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556" w:type="pct"/>
            <w:vAlign w:val="center"/>
          </w:tcPr>
          <w:p w14:paraId="66425EE0">
            <w:pPr>
              <w:autoSpaceDE w:val="0"/>
              <w:autoSpaceDN w:val="0"/>
              <w:adjustRightInd w:val="0"/>
              <w:spacing w:line="360" w:lineRule="auto"/>
              <w:jc w:val="center"/>
              <w:rPr>
                <w:rFonts w:hint="eastAsia" w:ascii="宋体" w:hAnsi="宋体" w:cs="宋体"/>
                <w:bCs/>
                <w:color w:val="000000"/>
                <w:sz w:val="24"/>
                <w:szCs w:val="24"/>
                <w:lang w:val="zh-CN"/>
              </w:rPr>
            </w:pPr>
            <w:r>
              <w:rPr>
                <w:rFonts w:hint="eastAsia" w:ascii="宋体" w:hAnsi="宋体" w:cs="宋体"/>
                <w:bCs/>
                <w:color w:val="000000"/>
                <w:sz w:val="24"/>
                <w:szCs w:val="24"/>
                <w:lang w:val="zh-CN"/>
              </w:rPr>
              <w:t>14</w:t>
            </w:r>
          </w:p>
        </w:tc>
        <w:tc>
          <w:tcPr>
            <w:tcW w:w="1513" w:type="pct"/>
            <w:vAlign w:val="center"/>
          </w:tcPr>
          <w:p w14:paraId="1B3E9D6E">
            <w:pPr>
              <w:autoSpaceDE w:val="0"/>
              <w:autoSpaceDN w:val="0"/>
              <w:adjustRightInd w:val="0"/>
              <w:spacing w:line="360" w:lineRule="auto"/>
              <w:jc w:val="center"/>
              <w:rPr>
                <w:rFonts w:hint="eastAsia" w:ascii="宋体" w:hAnsi="宋体" w:cs="宋体"/>
                <w:bCs/>
                <w:color w:val="000000"/>
                <w:sz w:val="24"/>
                <w:szCs w:val="24"/>
                <w:lang w:val="zh-CN"/>
              </w:rPr>
            </w:pPr>
            <w:r>
              <w:rPr>
                <w:rFonts w:hint="eastAsia" w:ascii="宋体" w:hAnsi="宋体" w:cs="宋体"/>
                <w:bCs/>
                <w:color w:val="000000"/>
                <w:sz w:val="24"/>
                <w:szCs w:val="24"/>
                <w:lang w:val="zh-CN"/>
              </w:rPr>
              <w:t>踏勘现场</w:t>
            </w:r>
          </w:p>
        </w:tc>
        <w:tc>
          <w:tcPr>
            <w:tcW w:w="2930" w:type="pct"/>
            <w:tcBorders>
              <w:top w:val="single" w:color="auto" w:sz="4" w:space="0"/>
            </w:tcBorders>
            <w:vAlign w:val="center"/>
          </w:tcPr>
          <w:p w14:paraId="4C2A4792">
            <w:pPr>
              <w:autoSpaceDE w:val="0"/>
              <w:autoSpaceDN w:val="0"/>
              <w:adjustRightInd w:val="0"/>
              <w:spacing w:line="360" w:lineRule="auto"/>
              <w:jc w:val="left"/>
              <w:rPr>
                <w:rFonts w:hint="eastAsia" w:ascii="宋体" w:hAnsi="宋体" w:cs="宋体"/>
                <w:bCs/>
                <w:color w:val="000000"/>
                <w:sz w:val="24"/>
                <w:szCs w:val="24"/>
              </w:rPr>
            </w:pPr>
            <w:r>
              <w:rPr>
                <w:rFonts w:hint="eastAsia" w:ascii="宋体" w:hAnsi="宋体" w:cs="宋体"/>
                <w:bCs/>
                <w:color w:val="000000"/>
                <w:sz w:val="24"/>
                <w:szCs w:val="24"/>
              </w:rPr>
              <w:t>不召开</w:t>
            </w:r>
          </w:p>
        </w:tc>
      </w:tr>
      <w:tr w14:paraId="4EB53F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556" w:type="pct"/>
            <w:vAlign w:val="center"/>
          </w:tcPr>
          <w:p w14:paraId="1DC51ABA">
            <w:pPr>
              <w:autoSpaceDE w:val="0"/>
              <w:autoSpaceDN w:val="0"/>
              <w:adjustRightInd w:val="0"/>
              <w:spacing w:line="360" w:lineRule="auto"/>
              <w:jc w:val="center"/>
              <w:rPr>
                <w:rFonts w:hint="eastAsia" w:ascii="宋体" w:hAnsi="宋体" w:cs="宋体"/>
                <w:bCs/>
                <w:color w:val="000000"/>
                <w:sz w:val="24"/>
                <w:szCs w:val="24"/>
                <w:lang w:val="zh-CN"/>
              </w:rPr>
            </w:pPr>
            <w:r>
              <w:rPr>
                <w:rFonts w:hint="eastAsia" w:ascii="宋体" w:hAnsi="宋体" w:cs="宋体"/>
                <w:bCs/>
                <w:color w:val="000000"/>
                <w:sz w:val="24"/>
                <w:szCs w:val="24"/>
                <w:lang w:val="zh-CN"/>
              </w:rPr>
              <w:t>15</w:t>
            </w:r>
          </w:p>
        </w:tc>
        <w:tc>
          <w:tcPr>
            <w:tcW w:w="1513" w:type="pct"/>
            <w:vAlign w:val="center"/>
          </w:tcPr>
          <w:p w14:paraId="2D9F1EBF">
            <w:pPr>
              <w:autoSpaceDE w:val="0"/>
              <w:autoSpaceDN w:val="0"/>
              <w:adjustRightInd w:val="0"/>
              <w:spacing w:line="360" w:lineRule="auto"/>
              <w:jc w:val="center"/>
              <w:rPr>
                <w:rFonts w:hint="eastAsia" w:ascii="宋体" w:hAnsi="宋体" w:cs="宋体"/>
                <w:bCs/>
                <w:color w:val="000000"/>
                <w:sz w:val="24"/>
                <w:szCs w:val="24"/>
                <w:lang w:val="zh-CN"/>
              </w:rPr>
            </w:pPr>
            <w:r>
              <w:rPr>
                <w:rFonts w:hint="eastAsia" w:ascii="宋体" w:hAnsi="宋体" w:cs="宋体"/>
                <w:bCs/>
                <w:color w:val="000000"/>
                <w:sz w:val="24"/>
                <w:szCs w:val="24"/>
                <w:lang w:val="zh-CN"/>
              </w:rPr>
              <w:t>投标预备会</w:t>
            </w:r>
          </w:p>
        </w:tc>
        <w:tc>
          <w:tcPr>
            <w:tcW w:w="2930" w:type="pct"/>
            <w:vAlign w:val="center"/>
          </w:tcPr>
          <w:p w14:paraId="4C6B62AC">
            <w:pPr>
              <w:autoSpaceDE w:val="0"/>
              <w:autoSpaceDN w:val="0"/>
              <w:adjustRightInd w:val="0"/>
              <w:spacing w:line="360" w:lineRule="auto"/>
              <w:jc w:val="left"/>
              <w:rPr>
                <w:rFonts w:hint="eastAsia" w:ascii="宋体" w:hAnsi="宋体" w:cs="宋体"/>
                <w:bCs/>
                <w:color w:val="000000"/>
                <w:sz w:val="24"/>
                <w:szCs w:val="24"/>
              </w:rPr>
            </w:pPr>
            <w:r>
              <w:rPr>
                <w:rFonts w:hint="eastAsia" w:ascii="宋体" w:hAnsi="宋体" w:cs="宋体"/>
                <w:bCs/>
                <w:color w:val="000000"/>
                <w:sz w:val="24"/>
                <w:szCs w:val="24"/>
              </w:rPr>
              <w:t>不召开</w:t>
            </w:r>
          </w:p>
        </w:tc>
      </w:tr>
      <w:tr w14:paraId="6C7DBB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0" w:hRule="atLeast"/>
        </w:trPr>
        <w:tc>
          <w:tcPr>
            <w:tcW w:w="556" w:type="pct"/>
            <w:vAlign w:val="center"/>
          </w:tcPr>
          <w:p w14:paraId="1A5D2A63">
            <w:pPr>
              <w:autoSpaceDE w:val="0"/>
              <w:autoSpaceDN w:val="0"/>
              <w:adjustRightInd w:val="0"/>
              <w:spacing w:line="360" w:lineRule="auto"/>
              <w:jc w:val="center"/>
              <w:rPr>
                <w:rFonts w:hint="eastAsia" w:ascii="宋体" w:hAnsi="宋体" w:cs="宋体"/>
                <w:bCs/>
                <w:color w:val="000000"/>
                <w:sz w:val="24"/>
                <w:szCs w:val="24"/>
                <w:lang w:val="zh-CN"/>
              </w:rPr>
            </w:pPr>
            <w:r>
              <w:rPr>
                <w:rFonts w:hint="eastAsia" w:ascii="宋体" w:hAnsi="宋体" w:cs="宋体"/>
                <w:bCs/>
                <w:color w:val="000000"/>
                <w:sz w:val="24"/>
                <w:szCs w:val="24"/>
                <w:lang w:val="zh-CN"/>
              </w:rPr>
              <w:t>16</w:t>
            </w:r>
          </w:p>
        </w:tc>
        <w:tc>
          <w:tcPr>
            <w:tcW w:w="1513" w:type="pct"/>
            <w:shd w:val="clear" w:color="auto" w:fill="auto"/>
            <w:vAlign w:val="center"/>
          </w:tcPr>
          <w:p w14:paraId="032FD110">
            <w:pPr>
              <w:autoSpaceDE w:val="0"/>
              <w:autoSpaceDN w:val="0"/>
              <w:adjustRightInd w:val="0"/>
              <w:spacing w:line="360" w:lineRule="auto"/>
              <w:jc w:val="center"/>
              <w:rPr>
                <w:rFonts w:hint="eastAsia" w:ascii="宋体" w:hAnsi="宋体" w:cs="宋体"/>
                <w:bCs/>
                <w:color w:val="000000"/>
                <w:sz w:val="24"/>
                <w:szCs w:val="24"/>
                <w:lang w:val="zh-CN"/>
              </w:rPr>
            </w:pPr>
            <w:r>
              <w:rPr>
                <w:rFonts w:hint="eastAsia" w:ascii="宋体" w:hAnsi="宋体" w:cs="宋体"/>
                <w:bCs/>
                <w:color w:val="000000"/>
                <w:sz w:val="24"/>
                <w:szCs w:val="24"/>
                <w:lang w:val="zh-CN"/>
              </w:rPr>
              <w:t>分包</w:t>
            </w:r>
          </w:p>
        </w:tc>
        <w:tc>
          <w:tcPr>
            <w:tcW w:w="2930" w:type="pct"/>
            <w:shd w:val="clear" w:color="auto" w:fill="auto"/>
            <w:vAlign w:val="center"/>
          </w:tcPr>
          <w:p w14:paraId="5C741606">
            <w:pPr>
              <w:autoSpaceDE w:val="0"/>
              <w:autoSpaceDN w:val="0"/>
              <w:adjustRightInd w:val="0"/>
              <w:spacing w:line="360" w:lineRule="auto"/>
              <w:rPr>
                <w:rFonts w:hint="eastAsia" w:ascii="宋体" w:hAnsi="宋体" w:cs="宋体"/>
                <w:bCs/>
                <w:color w:val="000000"/>
                <w:sz w:val="24"/>
                <w:szCs w:val="24"/>
                <w:lang w:val="zh-CN"/>
              </w:rPr>
            </w:pPr>
            <w:r>
              <w:rPr>
                <w:rFonts w:hint="eastAsia" w:ascii="宋体" w:hAnsi="宋体" w:cs="宋体"/>
                <w:bCs/>
                <w:color w:val="000000"/>
                <w:sz w:val="24"/>
                <w:szCs w:val="24"/>
                <w:lang w:val="zh-CN"/>
              </w:rPr>
              <w:t xml:space="preserve">不允许 </w:t>
            </w:r>
          </w:p>
        </w:tc>
      </w:tr>
      <w:tr w14:paraId="6EA403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556" w:type="pct"/>
            <w:vAlign w:val="center"/>
          </w:tcPr>
          <w:p w14:paraId="2E8B1305">
            <w:pPr>
              <w:autoSpaceDE w:val="0"/>
              <w:autoSpaceDN w:val="0"/>
              <w:adjustRightInd w:val="0"/>
              <w:spacing w:line="360" w:lineRule="auto"/>
              <w:jc w:val="center"/>
              <w:rPr>
                <w:rFonts w:hint="eastAsia" w:ascii="宋体" w:hAnsi="宋体" w:cs="宋体"/>
                <w:bCs/>
                <w:color w:val="000000"/>
                <w:sz w:val="24"/>
                <w:szCs w:val="24"/>
                <w:lang w:val="zh-CN"/>
              </w:rPr>
            </w:pPr>
            <w:r>
              <w:rPr>
                <w:rFonts w:hint="eastAsia" w:ascii="宋体" w:hAnsi="宋体" w:cs="宋体"/>
                <w:bCs/>
                <w:color w:val="000000"/>
                <w:sz w:val="24"/>
                <w:szCs w:val="24"/>
                <w:lang w:val="zh-CN"/>
              </w:rPr>
              <w:t>17</w:t>
            </w:r>
          </w:p>
        </w:tc>
        <w:tc>
          <w:tcPr>
            <w:tcW w:w="1513" w:type="pct"/>
            <w:shd w:val="clear" w:color="auto" w:fill="auto"/>
            <w:vAlign w:val="center"/>
          </w:tcPr>
          <w:p w14:paraId="28656E13">
            <w:pPr>
              <w:autoSpaceDE w:val="0"/>
              <w:autoSpaceDN w:val="0"/>
              <w:adjustRightInd w:val="0"/>
              <w:spacing w:line="360" w:lineRule="auto"/>
              <w:jc w:val="center"/>
              <w:rPr>
                <w:rFonts w:hint="eastAsia" w:ascii="宋体" w:hAnsi="宋体" w:cs="宋体"/>
                <w:bCs/>
                <w:color w:val="000000"/>
                <w:sz w:val="24"/>
                <w:szCs w:val="24"/>
                <w:lang w:val="zh-CN"/>
              </w:rPr>
            </w:pPr>
            <w:r>
              <w:rPr>
                <w:rFonts w:hint="eastAsia" w:ascii="宋体" w:hAnsi="宋体" w:cs="宋体"/>
                <w:bCs/>
                <w:color w:val="000000"/>
                <w:sz w:val="24"/>
                <w:szCs w:val="24"/>
                <w:lang w:val="zh-CN"/>
              </w:rPr>
              <w:t>偏离</w:t>
            </w:r>
          </w:p>
        </w:tc>
        <w:tc>
          <w:tcPr>
            <w:tcW w:w="2930" w:type="pct"/>
            <w:shd w:val="clear" w:color="auto" w:fill="auto"/>
            <w:vAlign w:val="center"/>
          </w:tcPr>
          <w:p w14:paraId="563C9EC6">
            <w:pPr>
              <w:autoSpaceDE w:val="0"/>
              <w:autoSpaceDN w:val="0"/>
              <w:adjustRightInd w:val="0"/>
              <w:spacing w:line="360" w:lineRule="auto"/>
              <w:rPr>
                <w:rFonts w:hint="eastAsia" w:ascii="宋体" w:hAnsi="宋体" w:cs="宋体"/>
                <w:bCs/>
                <w:color w:val="000000"/>
                <w:sz w:val="24"/>
                <w:szCs w:val="24"/>
                <w:lang w:val="zh-CN"/>
              </w:rPr>
            </w:pPr>
            <w:r>
              <w:rPr>
                <w:rFonts w:hint="eastAsia" w:ascii="宋体" w:hAnsi="宋体" w:cs="宋体"/>
                <w:bCs/>
                <w:color w:val="000000"/>
                <w:sz w:val="24"/>
                <w:szCs w:val="24"/>
                <w:lang w:val="zh-CN"/>
              </w:rPr>
              <w:t>不允许负偏离</w:t>
            </w:r>
          </w:p>
        </w:tc>
      </w:tr>
      <w:tr w14:paraId="1172F2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556" w:type="pct"/>
            <w:vAlign w:val="center"/>
          </w:tcPr>
          <w:p w14:paraId="25364C99">
            <w:pPr>
              <w:autoSpaceDE w:val="0"/>
              <w:autoSpaceDN w:val="0"/>
              <w:adjustRightInd w:val="0"/>
              <w:spacing w:line="360" w:lineRule="auto"/>
              <w:jc w:val="center"/>
              <w:rPr>
                <w:rFonts w:hint="eastAsia" w:ascii="宋体" w:hAnsi="宋体" w:cs="宋体"/>
                <w:bCs/>
                <w:color w:val="000000"/>
                <w:sz w:val="24"/>
                <w:szCs w:val="24"/>
                <w:lang w:val="zh-CN"/>
              </w:rPr>
            </w:pPr>
            <w:r>
              <w:rPr>
                <w:rFonts w:hint="eastAsia" w:ascii="宋体" w:hAnsi="宋体" w:cs="宋体"/>
                <w:bCs/>
                <w:color w:val="000000"/>
                <w:sz w:val="24"/>
                <w:szCs w:val="24"/>
                <w:lang w:val="zh-CN"/>
              </w:rPr>
              <w:t>18</w:t>
            </w:r>
          </w:p>
        </w:tc>
        <w:tc>
          <w:tcPr>
            <w:tcW w:w="1513" w:type="pct"/>
            <w:shd w:val="clear" w:color="auto" w:fill="auto"/>
            <w:vAlign w:val="center"/>
          </w:tcPr>
          <w:p w14:paraId="2F254C58">
            <w:pPr>
              <w:autoSpaceDE w:val="0"/>
              <w:autoSpaceDN w:val="0"/>
              <w:adjustRightInd w:val="0"/>
              <w:spacing w:line="360" w:lineRule="auto"/>
              <w:jc w:val="center"/>
              <w:rPr>
                <w:rFonts w:hint="eastAsia" w:ascii="宋体" w:hAnsi="宋体" w:cs="宋体"/>
                <w:bCs/>
                <w:color w:val="000000"/>
                <w:sz w:val="24"/>
                <w:szCs w:val="24"/>
                <w:lang w:val="zh-CN"/>
              </w:rPr>
            </w:pPr>
            <w:r>
              <w:rPr>
                <w:rFonts w:hint="eastAsia" w:ascii="宋体" w:hAnsi="宋体" w:cs="宋体"/>
                <w:bCs/>
                <w:color w:val="000000"/>
                <w:sz w:val="24"/>
                <w:szCs w:val="24"/>
                <w:lang w:val="zh-CN"/>
              </w:rPr>
              <w:t>构成招标文件的其他材料</w:t>
            </w:r>
          </w:p>
        </w:tc>
        <w:tc>
          <w:tcPr>
            <w:tcW w:w="2930" w:type="pct"/>
            <w:shd w:val="clear" w:color="auto" w:fill="auto"/>
            <w:vAlign w:val="center"/>
          </w:tcPr>
          <w:p w14:paraId="44EE9FBD">
            <w:pPr>
              <w:autoSpaceDE w:val="0"/>
              <w:autoSpaceDN w:val="0"/>
              <w:adjustRightInd w:val="0"/>
              <w:spacing w:line="360" w:lineRule="auto"/>
              <w:rPr>
                <w:rFonts w:hint="eastAsia" w:ascii="宋体" w:hAnsi="宋体" w:cs="宋体"/>
                <w:bCs/>
                <w:color w:val="000000"/>
                <w:sz w:val="24"/>
                <w:szCs w:val="24"/>
                <w:lang w:val="zh-CN"/>
              </w:rPr>
            </w:pPr>
            <w:r>
              <w:rPr>
                <w:rFonts w:hint="eastAsia" w:ascii="宋体" w:hAnsi="宋体" w:cs="宋体"/>
                <w:bCs/>
                <w:color w:val="000000"/>
                <w:kern w:val="0"/>
                <w:sz w:val="24"/>
                <w:szCs w:val="24"/>
              </w:rPr>
              <w:t>招标文件的修改、补充文件等</w:t>
            </w:r>
          </w:p>
        </w:tc>
      </w:tr>
      <w:tr w14:paraId="496665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556" w:type="pct"/>
            <w:vAlign w:val="center"/>
          </w:tcPr>
          <w:p w14:paraId="01C80E43">
            <w:pPr>
              <w:autoSpaceDE w:val="0"/>
              <w:autoSpaceDN w:val="0"/>
              <w:adjustRightInd w:val="0"/>
              <w:spacing w:line="360" w:lineRule="auto"/>
              <w:jc w:val="center"/>
              <w:rPr>
                <w:rFonts w:hint="eastAsia" w:ascii="宋体" w:hAnsi="宋体" w:cs="宋体"/>
                <w:bCs/>
                <w:color w:val="000000"/>
                <w:sz w:val="24"/>
                <w:szCs w:val="24"/>
                <w:lang w:val="zh-CN"/>
              </w:rPr>
            </w:pPr>
            <w:r>
              <w:rPr>
                <w:rFonts w:hint="eastAsia" w:ascii="宋体" w:hAnsi="宋体" w:cs="宋体"/>
                <w:bCs/>
                <w:color w:val="000000"/>
                <w:sz w:val="24"/>
                <w:szCs w:val="24"/>
                <w:lang w:val="zh-CN"/>
              </w:rPr>
              <w:t>19</w:t>
            </w:r>
          </w:p>
        </w:tc>
        <w:tc>
          <w:tcPr>
            <w:tcW w:w="1513" w:type="pct"/>
            <w:shd w:val="clear" w:color="auto" w:fill="auto"/>
            <w:vAlign w:val="center"/>
          </w:tcPr>
          <w:p w14:paraId="72D7D037">
            <w:pPr>
              <w:autoSpaceDE w:val="0"/>
              <w:autoSpaceDN w:val="0"/>
              <w:adjustRightInd w:val="0"/>
              <w:spacing w:line="360" w:lineRule="auto"/>
              <w:jc w:val="center"/>
              <w:rPr>
                <w:rFonts w:hint="eastAsia" w:ascii="宋体" w:hAnsi="宋体" w:cs="宋体"/>
                <w:bCs/>
                <w:color w:val="000000"/>
                <w:sz w:val="24"/>
                <w:szCs w:val="24"/>
                <w:lang w:val="zh-CN"/>
              </w:rPr>
            </w:pPr>
            <w:r>
              <w:rPr>
                <w:rFonts w:hint="eastAsia" w:ascii="宋体" w:hAnsi="宋体" w:cs="宋体"/>
                <w:bCs/>
                <w:color w:val="000000"/>
                <w:sz w:val="24"/>
                <w:szCs w:val="24"/>
                <w:lang w:val="zh-CN"/>
              </w:rPr>
              <w:t>投标截止时间</w:t>
            </w:r>
          </w:p>
        </w:tc>
        <w:tc>
          <w:tcPr>
            <w:tcW w:w="2930" w:type="pct"/>
            <w:shd w:val="clear" w:color="auto" w:fill="auto"/>
            <w:vAlign w:val="center"/>
          </w:tcPr>
          <w:p w14:paraId="5C5BD0CE">
            <w:pPr>
              <w:autoSpaceDE w:val="0"/>
              <w:autoSpaceDN w:val="0"/>
              <w:adjustRightInd w:val="0"/>
              <w:spacing w:line="360" w:lineRule="auto"/>
              <w:rPr>
                <w:rFonts w:hint="eastAsia" w:ascii="宋体" w:hAnsi="宋体" w:cs="宋体"/>
                <w:bCs/>
                <w:sz w:val="24"/>
                <w:szCs w:val="24"/>
                <w:lang w:val="zh-CN"/>
              </w:rPr>
            </w:pPr>
            <w:r>
              <w:rPr>
                <w:rFonts w:hint="eastAsia" w:ascii="宋体" w:hAnsi="宋体" w:cs="宋体"/>
                <w:bCs/>
                <w:color w:val="000000"/>
                <w:sz w:val="24"/>
                <w:szCs w:val="24"/>
                <w:highlight w:val="none"/>
              </w:rPr>
              <w:t>2025年</w:t>
            </w:r>
            <w:r>
              <w:rPr>
                <w:rFonts w:hint="eastAsia" w:ascii="宋体" w:hAnsi="宋体" w:cs="宋体"/>
                <w:bCs/>
                <w:color w:val="000000"/>
                <w:sz w:val="24"/>
                <w:szCs w:val="24"/>
                <w:highlight w:val="none"/>
                <w:lang w:val="en-US" w:eastAsia="zh-CN"/>
              </w:rPr>
              <w:t>5</w:t>
            </w:r>
            <w:r>
              <w:rPr>
                <w:rFonts w:hint="eastAsia" w:ascii="宋体" w:hAnsi="宋体" w:cs="宋体"/>
                <w:bCs/>
                <w:color w:val="000000"/>
                <w:sz w:val="24"/>
                <w:szCs w:val="24"/>
                <w:highlight w:val="none"/>
              </w:rPr>
              <w:t>月</w:t>
            </w:r>
            <w:r>
              <w:rPr>
                <w:rFonts w:hint="eastAsia" w:ascii="宋体" w:hAnsi="宋体" w:cs="宋体"/>
                <w:bCs/>
                <w:color w:val="000000"/>
                <w:sz w:val="24"/>
                <w:szCs w:val="24"/>
                <w:highlight w:val="none"/>
                <w:lang w:val="en-US" w:eastAsia="zh-CN"/>
              </w:rPr>
              <w:t>9</w:t>
            </w:r>
            <w:r>
              <w:rPr>
                <w:rFonts w:hint="eastAsia" w:ascii="宋体" w:hAnsi="宋体" w:cs="宋体"/>
                <w:bCs/>
                <w:color w:val="000000"/>
                <w:sz w:val="24"/>
                <w:szCs w:val="24"/>
                <w:highlight w:val="none"/>
              </w:rPr>
              <w:t>日</w:t>
            </w:r>
            <w:r>
              <w:rPr>
                <w:rFonts w:hint="eastAsia" w:ascii="宋体" w:hAnsi="宋体" w:cs="宋体"/>
                <w:bCs/>
                <w:color w:val="000000"/>
                <w:sz w:val="24"/>
                <w:szCs w:val="24"/>
                <w:highlight w:val="none"/>
                <w:lang w:val="en-US" w:eastAsia="zh-CN"/>
              </w:rPr>
              <w:t>10</w:t>
            </w:r>
            <w:r>
              <w:rPr>
                <w:rFonts w:hint="eastAsia" w:ascii="宋体" w:hAnsi="宋体" w:cs="宋体"/>
                <w:bCs/>
                <w:color w:val="000000"/>
                <w:sz w:val="24"/>
                <w:szCs w:val="24"/>
                <w:highlight w:val="none"/>
              </w:rPr>
              <w:t>时</w:t>
            </w:r>
            <w:r>
              <w:rPr>
                <w:rFonts w:hint="eastAsia" w:ascii="宋体" w:hAnsi="宋体" w:cs="宋体"/>
                <w:bCs/>
                <w:color w:val="000000"/>
                <w:sz w:val="24"/>
                <w:szCs w:val="24"/>
                <w:highlight w:val="none"/>
                <w:lang w:val="en-US" w:eastAsia="zh-CN"/>
              </w:rPr>
              <w:t>0</w:t>
            </w:r>
            <w:r>
              <w:rPr>
                <w:rFonts w:hint="eastAsia" w:ascii="宋体" w:hAnsi="宋体" w:cs="宋体"/>
                <w:bCs/>
                <w:color w:val="000000"/>
                <w:sz w:val="24"/>
                <w:szCs w:val="24"/>
                <w:highlight w:val="none"/>
              </w:rPr>
              <w:t>0分</w:t>
            </w:r>
            <w:r>
              <w:rPr>
                <w:rFonts w:hint="eastAsia" w:ascii="宋体" w:hAnsi="宋体" w:cs="宋体"/>
                <w:bCs/>
                <w:sz w:val="24"/>
                <w:szCs w:val="24"/>
                <w:lang w:val="zh-CN"/>
              </w:rPr>
              <w:t>（北京时间）</w:t>
            </w:r>
          </w:p>
        </w:tc>
      </w:tr>
      <w:tr w14:paraId="3C00BC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556" w:type="pct"/>
            <w:vAlign w:val="center"/>
          </w:tcPr>
          <w:p w14:paraId="7848F51D">
            <w:pPr>
              <w:autoSpaceDE w:val="0"/>
              <w:autoSpaceDN w:val="0"/>
              <w:adjustRightInd w:val="0"/>
              <w:spacing w:line="360" w:lineRule="auto"/>
              <w:jc w:val="center"/>
              <w:rPr>
                <w:rFonts w:hint="eastAsia" w:ascii="宋体" w:hAnsi="宋体" w:cs="宋体"/>
                <w:bCs/>
                <w:color w:val="000000"/>
                <w:sz w:val="24"/>
                <w:szCs w:val="24"/>
                <w:lang w:val="zh-CN"/>
              </w:rPr>
            </w:pPr>
            <w:r>
              <w:rPr>
                <w:rFonts w:hint="eastAsia" w:ascii="宋体" w:hAnsi="宋体" w:cs="宋体"/>
                <w:bCs/>
                <w:color w:val="000000"/>
                <w:sz w:val="24"/>
                <w:szCs w:val="24"/>
                <w:lang w:val="zh-CN"/>
              </w:rPr>
              <w:t>20</w:t>
            </w:r>
          </w:p>
        </w:tc>
        <w:tc>
          <w:tcPr>
            <w:tcW w:w="1513" w:type="pct"/>
            <w:shd w:val="clear" w:color="auto" w:fill="auto"/>
            <w:vAlign w:val="center"/>
          </w:tcPr>
          <w:p w14:paraId="21F057F1">
            <w:pPr>
              <w:autoSpaceDE w:val="0"/>
              <w:autoSpaceDN w:val="0"/>
              <w:adjustRightInd w:val="0"/>
              <w:spacing w:line="360" w:lineRule="auto"/>
              <w:jc w:val="center"/>
              <w:rPr>
                <w:rFonts w:hint="eastAsia" w:ascii="宋体" w:hAnsi="宋体" w:cs="宋体"/>
                <w:bCs/>
                <w:color w:val="000000"/>
                <w:sz w:val="24"/>
                <w:szCs w:val="24"/>
                <w:lang w:val="zh-CN"/>
              </w:rPr>
            </w:pPr>
            <w:r>
              <w:rPr>
                <w:rFonts w:hint="eastAsia" w:ascii="宋体" w:hAnsi="宋体" w:cs="宋体"/>
                <w:bCs/>
                <w:color w:val="000000"/>
                <w:sz w:val="24"/>
                <w:szCs w:val="24"/>
                <w:lang w:val="zh-CN"/>
              </w:rPr>
              <w:t xml:space="preserve">接收询问和质疑的联系方式 </w:t>
            </w:r>
          </w:p>
        </w:tc>
        <w:tc>
          <w:tcPr>
            <w:tcW w:w="2930" w:type="pct"/>
            <w:shd w:val="clear" w:color="auto" w:fill="auto"/>
            <w:vAlign w:val="center"/>
          </w:tcPr>
          <w:p w14:paraId="1C6A7C83">
            <w:pPr>
              <w:autoSpaceDE w:val="0"/>
              <w:autoSpaceDN w:val="0"/>
              <w:adjustRightInd w:val="0"/>
              <w:spacing w:line="360" w:lineRule="auto"/>
              <w:rPr>
                <w:rFonts w:hint="eastAsia" w:ascii="宋体" w:hAnsi="宋体" w:cs="宋体"/>
                <w:bCs/>
                <w:sz w:val="24"/>
                <w:szCs w:val="24"/>
                <w:lang w:val="zh-CN"/>
              </w:rPr>
            </w:pPr>
            <w:r>
              <w:rPr>
                <w:rFonts w:hint="eastAsia" w:ascii="宋体" w:hAnsi="宋体" w:cs="宋体"/>
                <w:bCs/>
                <w:sz w:val="24"/>
                <w:szCs w:val="24"/>
              </w:rPr>
              <w:t>公司名称</w:t>
            </w:r>
            <w:r>
              <w:rPr>
                <w:rFonts w:hint="eastAsia" w:ascii="宋体" w:hAnsi="宋体" w:cs="宋体"/>
                <w:bCs/>
                <w:sz w:val="24"/>
                <w:szCs w:val="24"/>
                <w:lang w:val="zh-CN"/>
              </w:rPr>
              <w:t>：</w:t>
            </w:r>
            <w:r>
              <w:rPr>
                <w:rFonts w:hint="eastAsia" w:ascii="宋体" w:hAnsi="宋体" w:cs="宋体"/>
                <w:sz w:val="24"/>
                <w:szCs w:val="24"/>
                <w:lang w:val="zh-CN"/>
              </w:rPr>
              <w:t>鼎正众创建设集团有限公司</w:t>
            </w:r>
          </w:p>
          <w:p w14:paraId="3C377DC4">
            <w:pPr>
              <w:autoSpaceDE w:val="0"/>
              <w:autoSpaceDN w:val="0"/>
              <w:adjustRightInd w:val="0"/>
              <w:spacing w:line="360" w:lineRule="auto"/>
              <w:rPr>
                <w:rFonts w:hint="eastAsia" w:ascii="宋体" w:hAnsi="宋体" w:cs="宋体"/>
                <w:bCs/>
                <w:sz w:val="24"/>
                <w:szCs w:val="24"/>
                <w:lang w:val="zh-CN"/>
              </w:rPr>
            </w:pPr>
            <w:r>
              <w:rPr>
                <w:rFonts w:hint="eastAsia" w:ascii="宋体" w:hAnsi="宋体" w:cs="宋体"/>
                <w:bCs/>
                <w:sz w:val="24"/>
                <w:szCs w:val="24"/>
                <w:lang w:val="zh-CN"/>
              </w:rPr>
              <w:t>联系电话：</w:t>
            </w:r>
            <w:r>
              <w:rPr>
                <w:rFonts w:hint="eastAsia" w:ascii="宋体" w:hAnsi="宋体" w:cs="宋体"/>
                <w:bCs/>
                <w:sz w:val="24"/>
                <w:szCs w:val="24"/>
              </w:rPr>
              <w:t>0431-88664456</w:t>
            </w:r>
            <w:r>
              <w:rPr>
                <w:rFonts w:hint="eastAsia" w:ascii="宋体" w:hAnsi="宋体" w:cs="宋体"/>
                <w:bCs/>
                <w:sz w:val="24"/>
                <w:szCs w:val="24"/>
                <w:lang w:val="zh-CN"/>
              </w:rPr>
              <w:t xml:space="preserve"> </w:t>
            </w:r>
          </w:p>
          <w:p w14:paraId="37E08951">
            <w:pPr>
              <w:autoSpaceDE w:val="0"/>
              <w:autoSpaceDN w:val="0"/>
              <w:adjustRightInd w:val="0"/>
              <w:spacing w:line="360" w:lineRule="auto"/>
              <w:rPr>
                <w:rFonts w:hint="eastAsia" w:ascii="宋体" w:hAnsi="宋体" w:cs="宋体"/>
                <w:bCs/>
                <w:sz w:val="24"/>
                <w:szCs w:val="24"/>
              </w:rPr>
            </w:pPr>
            <w:r>
              <w:rPr>
                <w:rFonts w:hint="eastAsia" w:ascii="宋体" w:hAnsi="宋体" w:cs="宋体"/>
                <w:bCs/>
                <w:sz w:val="24"/>
                <w:szCs w:val="24"/>
              </w:rPr>
              <w:t>联系人：孙小英</w:t>
            </w:r>
          </w:p>
        </w:tc>
      </w:tr>
      <w:tr w14:paraId="29F9E5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556" w:type="pct"/>
            <w:vAlign w:val="center"/>
          </w:tcPr>
          <w:p w14:paraId="03466699">
            <w:pPr>
              <w:autoSpaceDE w:val="0"/>
              <w:autoSpaceDN w:val="0"/>
              <w:adjustRightInd w:val="0"/>
              <w:spacing w:line="360" w:lineRule="auto"/>
              <w:jc w:val="center"/>
              <w:rPr>
                <w:rFonts w:hint="eastAsia" w:ascii="宋体" w:hAnsi="宋体" w:cs="宋体"/>
                <w:bCs/>
                <w:color w:val="000000"/>
                <w:sz w:val="24"/>
                <w:szCs w:val="24"/>
                <w:lang w:val="zh-CN"/>
              </w:rPr>
            </w:pPr>
            <w:r>
              <w:rPr>
                <w:rFonts w:hint="eastAsia" w:ascii="宋体" w:hAnsi="宋体" w:cs="宋体"/>
                <w:bCs/>
                <w:color w:val="000000"/>
                <w:sz w:val="24"/>
                <w:szCs w:val="24"/>
                <w:lang w:val="zh-CN"/>
              </w:rPr>
              <w:t>21</w:t>
            </w:r>
          </w:p>
        </w:tc>
        <w:tc>
          <w:tcPr>
            <w:tcW w:w="1513" w:type="pct"/>
            <w:shd w:val="clear" w:color="auto" w:fill="auto"/>
            <w:vAlign w:val="center"/>
          </w:tcPr>
          <w:p w14:paraId="3EDA9AE7">
            <w:pPr>
              <w:autoSpaceDE w:val="0"/>
              <w:autoSpaceDN w:val="0"/>
              <w:adjustRightInd w:val="0"/>
              <w:spacing w:line="360" w:lineRule="auto"/>
              <w:jc w:val="center"/>
              <w:rPr>
                <w:rFonts w:hint="eastAsia" w:ascii="宋体" w:hAnsi="宋体" w:cs="宋体"/>
                <w:bCs/>
                <w:color w:val="000000"/>
                <w:sz w:val="24"/>
                <w:szCs w:val="24"/>
                <w:lang w:val="zh-CN"/>
              </w:rPr>
            </w:pPr>
            <w:r>
              <w:rPr>
                <w:rFonts w:hint="eastAsia" w:ascii="宋体" w:hAnsi="宋体" w:cs="宋体"/>
                <w:bCs/>
                <w:color w:val="000000"/>
                <w:sz w:val="24"/>
                <w:szCs w:val="24"/>
                <w:lang w:val="zh-CN"/>
              </w:rPr>
              <w:t>投标有效期</w:t>
            </w:r>
          </w:p>
        </w:tc>
        <w:tc>
          <w:tcPr>
            <w:tcW w:w="2930" w:type="pct"/>
            <w:shd w:val="clear" w:color="auto" w:fill="auto"/>
            <w:vAlign w:val="center"/>
          </w:tcPr>
          <w:p w14:paraId="637566E9">
            <w:pPr>
              <w:autoSpaceDE w:val="0"/>
              <w:autoSpaceDN w:val="0"/>
              <w:adjustRightInd w:val="0"/>
              <w:spacing w:line="360" w:lineRule="auto"/>
              <w:rPr>
                <w:rFonts w:hint="eastAsia" w:ascii="宋体" w:hAnsi="宋体" w:cs="宋体"/>
                <w:bCs/>
                <w:color w:val="000000"/>
                <w:sz w:val="24"/>
                <w:szCs w:val="24"/>
                <w:lang w:val="zh-CN"/>
              </w:rPr>
            </w:pPr>
            <w:r>
              <w:rPr>
                <w:rFonts w:hint="eastAsia" w:ascii="宋体" w:hAnsi="宋体" w:cs="宋体"/>
                <w:bCs/>
                <w:color w:val="000000"/>
                <w:sz w:val="24"/>
                <w:szCs w:val="24"/>
                <w:lang w:val="zh-CN"/>
              </w:rPr>
              <w:t>投标截止之日后90天（日历天），从投标截止之日算起。</w:t>
            </w:r>
          </w:p>
        </w:tc>
      </w:tr>
      <w:tr w14:paraId="52D65B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556" w:type="pct"/>
            <w:vAlign w:val="center"/>
          </w:tcPr>
          <w:p w14:paraId="72D590A5">
            <w:pPr>
              <w:autoSpaceDE w:val="0"/>
              <w:autoSpaceDN w:val="0"/>
              <w:adjustRightInd w:val="0"/>
              <w:spacing w:line="360" w:lineRule="auto"/>
              <w:jc w:val="center"/>
              <w:rPr>
                <w:rFonts w:hint="eastAsia" w:ascii="宋体" w:hAnsi="宋体" w:cs="宋体"/>
                <w:bCs/>
                <w:color w:val="000000"/>
                <w:sz w:val="24"/>
                <w:szCs w:val="24"/>
                <w:lang w:val="zh-CN"/>
              </w:rPr>
            </w:pPr>
            <w:r>
              <w:rPr>
                <w:rFonts w:hint="eastAsia" w:ascii="宋体" w:hAnsi="宋体" w:cs="宋体"/>
                <w:bCs/>
                <w:color w:val="000000"/>
                <w:sz w:val="24"/>
                <w:szCs w:val="24"/>
                <w:lang w:val="zh-CN"/>
              </w:rPr>
              <w:t>22</w:t>
            </w:r>
          </w:p>
        </w:tc>
        <w:tc>
          <w:tcPr>
            <w:tcW w:w="1513" w:type="pct"/>
            <w:shd w:val="clear" w:color="auto" w:fill="auto"/>
            <w:vAlign w:val="center"/>
          </w:tcPr>
          <w:p w14:paraId="061AF11F">
            <w:pPr>
              <w:autoSpaceDE w:val="0"/>
              <w:autoSpaceDN w:val="0"/>
              <w:adjustRightInd w:val="0"/>
              <w:spacing w:line="360" w:lineRule="auto"/>
              <w:jc w:val="center"/>
              <w:rPr>
                <w:rFonts w:hint="eastAsia" w:ascii="宋体" w:hAnsi="宋体" w:cs="宋体"/>
                <w:bCs/>
                <w:color w:val="000000"/>
                <w:sz w:val="24"/>
                <w:szCs w:val="24"/>
                <w:lang w:val="zh-CN"/>
              </w:rPr>
            </w:pPr>
            <w:r>
              <w:rPr>
                <w:rFonts w:hint="eastAsia" w:ascii="宋体" w:hAnsi="宋体" w:cs="宋体"/>
                <w:bCs/>
                <w:color w:val="000000"/>
                <w:sz w:val="24"/>
                <w:szCs w:val="24"/>
                <w:lang w:val="zh-CN"/>
              </w:rPr>
              <w:t>投标保证金</w:t>
            </w:r>
          </w:p>
        </w:tc>
        <w:tc>
          <w:tcPr>
            <w:tcW w:w="2930" w:type="pct"/>
            <w:shd w:val="clear" w:color="auto" w:fill="auto"/>
            <w:vAlign w:val="center"/>
          </w:tcPr>
          <w:p w14:paraId="52A0EA62">
            <w:pPr>
              <w:autoSpaceDE w:val="0"/>
              <w:autoSpaceDN w:val="0"/>
              <w:adjustRightInd w:val="0"/>
              <w:spacing w:line="360" w:lineRule="auto"/>
              <w:rPr>
                <w:rFonts w:hint="eastAsia" w:ascii="宋体" w:hAnsi="宋体" w:cs="宋体"/>
                <w:bCs/>
                <w:color w:val="000000"/>
                <w:sz w:val="24"/>
                <w:szCs w:val="24"/>
                <w:lang w:val="zh-CN"/>
              </w:rPr>
            </w:pPr>
            <w:r>
              <w:rPr>
                <w:rFonts w:hint="eastAsia" w:ascii="宋体" w:hAnsi="宋体" w:cs="宋体"/>
                <w:bCs/>
                <w:color w:val="000000"/>
                <w:sz w:val="24"/>
                <w:szCs w:val="24"/>
                <w:lang w:val="zh-CN"/>
              </w:rPr>
              <w:t>人民币</w:t>
            </w:r>
            <w:r>
              <w:rPr>
                <w:rFonts w:hint="eastAsia" w:ascii="宋体" w:hAnsi="宋体" w:cs="宋体"/>
                <w:bCs/>
                <w:color w:val="000000"/>
                <w:sz w:val="24"/>
                <w:szCs w:val="24"/>
              </w:rPr>
              <w:t>50000</w:t>
            </w:r>
            <w:r>
              <w:rPr>
                <w:rFonts w:hint="eastAsia" w:ascii="宋体" w:hAnsi="宋体" w:cs="宋体"/>
                <w:bCs/>
                <w:color w:val="000000"/>
                <w:sz w:val="24"/>
                <w:szCs w:val="24"/>
                <w:lang w:val="zh-CN"/>
              </w:rPr>
              <w:t>元，递交形式：投标保证金应当</w:t>
            </w:r>
            <w:r>
              <w:rPr>
                <w:rFonts w:hint="eastAsia" w:ascii="宋体" w:hAnsi="宋体" w:cs="宋体"/>
                <w:bCs/>
                <w:color w:val="000000"/>
                <w:sz w:val="24"/>
                <w:szCs w:val="24"/>
              </w:rPr>
              <w:t>以</w:t>
            </w:r>
            <w:r>
              <w:rPr>
                <w:rFonts w:hint="eastAsia" w:ascii="宋体" w:hAnsi="宋体" w:cs="宋体"/>
                <w:bCs/>
                <w:color w:val="000000"/>
                <w:sz w:val="24"/>
                <w:szCs w:val="24"/>
                <w:lang w:val="zh-CN"/>
              </w:rPr>
              <w:t>支票、汇票、本票、</w:t>
            </w:r>
            <w:r>
              <w:rPr>
                <w:rFonts w:ascii="宋体" w:hAnsi="宋体" w:cs="宋体"/>
                <w:spacing w:val="-4"/>
                <w:sz w:val="24"/>
                <w:szCs w:val="24"/>
              </w:rPr>
              <w:t>网</w:t>
            </w:r>
            <w:r>
              <w:rPr>
                <w:rFonts w:ascii="宋体" w:hAnsi="宋体" w:cs="宋体"/>
                <w:spacing w:val="-2"/>
                <w:sz w:val="24"/>
                <w:szCs w:val="24"/>
              </w:rPr>
              <w:t>上银行支付</w:t>
            </w:r>
            <w:r>
              <w:rPr>
                <w:rFonts w:hint="eastAsia" w:ascii="宋体" w:hAnsi="宋体" w:cs="宋体"/>
                <w:bCs/>
                <w:color w:val="000000"/>
                <w:sz w:val="24"/>
                <w:szCs w:val="24"/>
                <w:lang w:val="zh-CN"/>
              </w:rPr>
              <w:t>或者金融机构、担保机构出具的保函</w:t>
            </w:r>
            <w:r>
              <w:rPr>
                <w:rFonts w:hint="eastAsia" w:ascii="宋体" w:hAnsi="宋体" w:cs="宋体"/>
                <w:bCs/>
                <w:color w:val="000000"/>
                <w:sz w:val="24"/>
                <w:szCs w:val="24"/>
              </w:rPr>
              <w:t>等形式提交</w:t>
            </w:r>
            <w:r>
              <w:rPr>
                <w:rFonts w:hint="eastAsia" w:ascii="宋体" w:hAnsi="宋体" w:cs="宋体"/>
                <w:bCs/>
                <w:color w:val="000000"/>
                <w:sz w:val="24"/>
                <w:szCs w:val="24"/>
                <w:lang w:val="zh-CN"/>
              </w:rPr>
              <w:t>。</w:t>
            </w:r>
          </w:p>
          <w:p w14:paraId="024C8D51">
            <w:pPr>
              <w:autoSpaceDE w:val="0"/>
              <w:autoSpaceDN w:val="0"/>
              <w:adjustRightInd w:val="0"/>
              <w:spacing w:line="360" w:lineRule="auto"/>
              <w:rPr>
                <w:rFonts w:hint="eastAsia" w:ascii="宋体" w:hAnsi="宋体" w:cs="宋体"/>
                <w:bCs/>
                <w:color w:val="000000"/>
                <w:sz w:val="24"/>
                <w:szCs w:val="24"/>
                <w:lang w:val="zh-CN"/>
              </w:rPr>
            </w:pPr>
            <w:r>
              <w:rPr>
                <w:rFonts w:hint="eastAsia" w:ascii="宋体" w:hAnsi="宋体" w:cs="宋体"/>
                <w:bCs/>
                <w:color w:val="000000"/>
                <w:sz w:val="24"/>
                <w:szCs w:val="24"/>
                <w:lang w:val="zh-CN"/>
              </w:rPr>
              <w:t>账户名称：鼎正众创建设集团有限公司吉林省分公司</w:t>
            </w:r>
          </w:p>
          <w:p w14:paraId="4DD61C7D">
            <w:pPr>
              <w:autoSpaceDE w:val="0"/>
              <w:autoSpaceDN w:val="0"/>
              <w:adjustRightInd w:val="0"/>
              <w:spacing w:line="360" w:lineRule="auto"/>
              <w:rPr>
                <w:rFonts w:hint="eastAsia" w:ascii="宋体" w:hAnsi="宋体" w:cs="宋体"/>
                <w:bCs/>
                <w:color w:val="000000"/>
                <w:sz w:val="24"/>
                <w:szCs w:val="24"/>
                <w:lang w:val="zh-CN"/>
              </w:rPr>
            </w:pPr>
            <w:r>
              <w:rPr>
                <w:rFonts w:hint="eastAsia" w:ascii="宋体" w:hAnsi="宋体" w:cs="宋体"/>
                <w:bCs/>
                <w:color w:val="000000"/>
                <w:sz w:val="24"/>
                <w:szCs w:val="24"/>
                <w:lang w:val="zh-CN"/>
              </w:rPr>
              <w:t>开户账号：61040078801300000649</w:t>
            </w:r>
          </w:p>
          <w:p w14:paraId="2A0FCCDE">
            <w:pPr>
              <w:autoSpaceDE w:val="0"/>
              <w:autoSpaceDN w:val="0"/>
              <w:adjustRightInd w:val="0"/>
              <w:spacing w:line="360" w:lineRule="auto"/>
              <w:rPr>
                <w:rFonts w:hint="eastAsia" w:ascii="宋体" w:hAnsi="宋体" w:cs="宋体"/>
                <w:bCs/>
                <w:color w:val="000000"/>
                <w:sz w:val="24"/>
                <w:szCs w:val="24"/>
                <w:lang w:val="zh-CN"/>
              </w:rPr>
            </w:pPr>
            <w:r>
              <w:rPr>
                <w:rFonts w:hint="eastAsia" w:ascii="宋体" w:hAnsi="宋体" w:cs="宋体"/>
                <w:bCs/>
                <w:color w:val="000000"/>
                <w:sz w:val="24"/>
                <w:szCs w:val="24"/>
                <w:lang w:val="zh-CN"/>
              </w:rPr>
              <w:t>开户银行：上海浦东发展银行股份有限公司长春分行</w:t>
            </w:r>
          </w:p>
          <w:p w14:paraId="3B3328E1">
            <w:pPr>
              <w:autoSpaceDE w:val="0"/>
              <w:autoSpaceDN w:val="0"/>
              <w:adjustRightInd w:val="0"/>
              <w:spacing w:line="360" w:lineRule="auto"/>
              <w:rPr>
                <w:rFonts w:hint="eastAsia" w:ascii="宋体" w:hAnsi="宋体" w:cs="宋体"/>
                <w:bCs/>
                <w:color w:val="000000"/>
                <w:sz w:val="24"/>
                <w:szCs w:val="24"/>
                <w:lang w:val="zh-CN"/>
              </w:rPr>
            </w:pPr>
            <w:r>
              <w:rPr>
                <w:rFonts w:hint="eastAsia" w:ascii="宋体" w:hAnsi="宋体" w:cs="宋体"/>
                <w:bCs/>
                <w:color w:val="000000"/>
                <w:sz w:val="24"/>
                <w:szCs w:val="24"/>
                <w:lang w:val="zh-CN"/>
              </w:rPr>
              <w:t>1、投标人以</w:t>
            </w:r>
            <w:r>
              <w:rPr>
                <w:rFonts w:ascii="宋体" w:hAnsi="宋体" w:cs="宋体"/>
                <w:spacing w:val="-4"/>
                <w:sz w:val="24"/>
                <w:szCs w:val="24"/>
              </w:rPr>
              <w:t>网</w:t>
            </w:r>
            <w:r>
              <w:rPr>
                <w:rFonts w:ascii="宋体" w:hAnsi="宋体" w:cs="宋体"/>
                <w:spacing w:val="-2"/>
                <w:sz w:val="24"/>
                <w:szCs w:val="24"/>
              </w:rPr>
              <w:t>上银行支付</w:t>
            </w:r>
            <w:r>
              <w:rPr>
                <w:rFonts w:hint="eastAsia" w:ascii="宋体" w:hAnsi="宋体" w:cs="宋体"/>
                <w:bCs/>
                <w:color w:val="000000"/>
                <w:sz w:val="24"/>
                <w:szCs w:val="24"/>
                <w:lang w:val="zh-CN"/>
              </w:rPr>
              <w:t>或支票形式提交的投标保证金应当从投标单位的基本账户转出（投标人应于</w:t>
            </w:r>
            <w:r>
              <w:rPr>
                <w:rFonts w:hint="eastAsia" w:ascii="宋体" w:hAnsi="宋体" w:cs="宋体"/>
                <w:bCs/>
                <w:color w:val="000000"/>
                <w:sz w:val="24"/>
                <w:szCs w:val="24"/>
              </w:rPr>
              <w:t>开标</w:t>
            </w:r>
            <w:r>
              <w:rPr>
                <w:rFonts w:hint="eastAsia" w:ascii="宋体" w:hAnsi="宋体" w:cs="宋体"/>
                <w:bCs/>
                <w:color w:val="000000"/>
                <w:sz w:val="24"/>
                <w:szCs w:val="24"/>
                <w:lang w:val="zh-CN"/>
              </w:rPr>
              <w:t>前递交，以到账为准）。</w:t>
            </w:r>
          </w:p>
          <w:p w14:paraId="34B41D79">
            <w:pPr>
              <w:autoSpaceDE w:val="0"/>
              <w:autoSpaceDN w:val="0"/>
              <w:adjustRightInd w:val="0"/>
              <w:spacing w:line="360" w:lineRule="auto"/>
              <w:rPr>
                <w:rFonts w:hint="eastAsia" w:ascii="宋体" w:hAnsi="宋体" w:cs="宋体"/>
                <w:bCs/>
                <w:color w:val="000000"/>
                <w:sz w:val="24"/>
                <w:szCs w:val="24"/>
                <w:lang w:val="zh-CN"/>
              </w:rPr>
            </w:pPr>
            <w:r>
              <w:rPr>
                <w:rFonts w:hint="eastAsia" w:ascii="宋体" w:hAnsi="宋体" w:cs="宋体"/>
                <w:bCs/>
                <w:color w:val="000000"/>
                <w:sz w:val="24"/>
                <w:szCs w:val="24"/>
                <w:lang w:val="zh-CN"/>
              </w:rPr>
              <w:t>2、投标人以</w:t>
            </w:r>
            <w:r>
              <w:rPr>
                <w:rFonts w:ascii="宋体" w:hAnsi="宋体" w:cs="宋体"/>
                <w:spacing w:val="2"/>
                <w:sz w:val="24"/>
                <w:szCs w:val="24"/>
              </w:rPr>
              <w:t>金融机构、担保机构</w:t>
            </w:r>
            <w:r>
              <w:rPr>
                <w:rFonts w:hint="eastAsia" w:ascii="宋体" w:hAnsi="宋体" w:cs="宋体"/>
                <w:bCs/>
                <w:color w:val="000000"/>
                <w:sz w:val="24"/>
                <w:szCs w:val="24"/>
                <w:lang w:val="zh-CN"/>
              </w:rPr>
              <w:t>方式提交</w:t>
            </w:r>
            <w:r>
              <w:rPr>
                <w:rFonts w:hint="eastAsia" w:ascii="宋体" w:hAnsi="宋体" w:cs="宋体"/>
                <w:bCs/>
                <w:color w:val="000000"/>
                <w:sz w:val="24"/>
                <w:szCs w:val="24"/>
              </w:rPr>
              <w:t>投标</w:t>
            </w:r>
            <w:r>
              <w:rPr>
                <w:rFonts w:hint="eastAsia" w:ascii="宋体" w:hAnsi="宋体" w:cs="宋体"/>
                <w:bCs/>
                <w:color w:val="000000"/>
                <w:sz w:val="24"/>
                <w:szCs w:val="24"/>
                <w:lang w:val="zh-CN"/>
              </w:rPr>
              <w:t>保证金的，须将保函原件在提交</w:t>
            </w:r>
            <w:r>
              <w:rPr>
                <w:rFonts w:hint="eastAsia" w:ascii="宋体" w:hAnsi="宋体" w:cs="宋体"/>
                <w:bCs/>
                <w:color w:val="000000"/>
                <w:sz w:val="24"/>
                <w:szCs w:val="24"/>
              </w:rPr>
              <w:t>投标</w:t>
            </w:r>
            <w:r>
              <w:rPr>
                <w:rFonts w:hint="eastAsia" w:ascii="宋体" w:hAnsi="宋体" w:cs="宋体"/>
                <w:bCs/>
                <w:color w:val="000000"/>
                <w:sz w:val="24"/>
                <w:szCs w:val="24"/>
                <w:lang w:val="zh-CN"/>
              </w:rPr>
              <w:t>文件截止时间前送达到采购代理机构（以便核查），并将复印件装入响应文件中。</w:t>
            </w:r>
          </w:p>
          <w:p w14:paraId="7CDB8DB6">
            <w:pPr>
              <w:autoSpaceDE w:val="0"/>
              <w:autoSpaceDN w:val="0"/>
              <w:adjustRightInd w:val="0"/>
              <w:spacing w:line="360" w:lineRule="auto"/>
              <w:rPr>
                <w:rFonts w:hint="eastAsia" w:ascii="宋体" w:hAnsi="宋体" w:cs="宋体"/>
                <w:bCs/>
                <w:color w:val="000000"/>
                <w:sz w:val="24"/>
                <w:szCs w:val="24"/>
                <w:lang w:val="zh-CN"/>
              </w:rPr>
            </w:pPr>
            <w:r>
              <w:rPr>
                <w:rFonts w:hint="eastAsia" w:ascii="宋体" w:hAnsi="宋体" w:cs="宋体"/>
                <w:bCs/>
                <w:color w:val="000000"/>
                <w:sz w:val="24"/>
                <w:szCs w:val="24"/>
                <w:lang w:val="zh-CN"/>
              </w:rPr>
              <w:t>3、未按招标文件要求提交</w:t>
            </w:r>
            <w:r>
              <w:rPr>
                <w:rFonts w:hint="eastAsia" w:ascii="宋体" w:hAnsi="宋体" w:cs="宋体"/>
                <w:bCs/>
                <w:color w:val="000000"/>
                <w:sz w:val="24"/>
                <w:szCs w:val="24"/>
              </w:rPr>
              <w:t>投标</w:t>
            </w:r>
            <w:r>
              <w:rPr>
                <w:rFonts w:hint="eastAsia" w:ascii="宋体" w:hAnsi="宋体" w:cs="宋体"/>
                <w:bCs/>
                <w:color w:val="000000"/>
                <w:sz w:val="24"/>
                <w:szCs w:val="24"/>
                <w:lang w:val="zh-CN"/>
              </w:rPr>
              <w:t>保证金，</w:t>
            </w:r>
            <w:r>
              <w:rPr>
                <w:rFonts w:ascii="宋体" w:hAnsi="宋体" w:cs="宋体"/>
                <w:spacing w:val="1"/>
                <w:sz w:val="24"/>
                <w:szCs w:val="24"/>
              </w:rPr>
              <w:t>或</w:t>
            </w:r>
            <w:r>
              <w:rPr>
                <w:rFonts w:ascii="宋体" w:hAnsi="宋体" w:cs="宋体"/>
                <w:sz w:val="24"/>
                <w:szCs w:val="24"/>
              </w:rPr>
              <w:t>者</w:t>
            </w:r>
            <w:r>
              <w:rPr>
                <w:rFonts w:ascii="宋体" w:hAnsi="宋体" w:cs="宋体"/>
                <w:spacing w:val="2"/>
                <w:sz w:val="24"/>
                <w:szCs w:val="24"/>
              </w:rPr>
              <w:t>由于到账时间晚于投标截止时间的，</w:t>
            </w:r>
            <w:r>
              <w:rPr>
                <w:rFonts w:ascii="宋体" w:hAnsi="宋体" w:cs="宋体"/>
                <w:spacing w:val="1"/>
                <w:sz w:val="24"/>
                <w:szCs w:val="24"/>
              </w:rPr>
              <w:t>或</w:t>
            </w:r>
            <w:r>
              <w:rPr>
                <w:rFonts w:ascii="宋体" w:hAnsi="宋体" w:cs="宋体"/>
                <w:sz w:val="24"/>
                <w:szCs w:val="24"/>
              </w:rPr>
              <w:t>者</w:t>
            </w:r>
            <w:r>
              <w:rPr>
                <w:rFonts w:ascii="宋体" w:hAnsi="宋体" w:cs="宋体"/>
                <w:spacing w:val="-1"/>
                <w:sz w:val="24"/>
                <w:szCs w:val="24"/>
              </w:rPr>
              <w:t>票据错误、印鉴不清</w:t>
            </w:r>
            <w:r>
              <w:rPr>
                <w:rFonts w:ascii="宋体" w:hAnsi="宋体" w:cs="宋体"/>
                <w:sz w:val="24"/>
                <w:szCs w:val="24"/>
              </w:rPr>
              <w:t>等原因导致不能到账的</w:t>
            </w:r>
            <w:r>
              <w:rPr>
                <w:rFonts w:hint="eastAsia" w:ascii="宋体" w:hAnsi="宋体" w:cs="宋体"/>
                <w:bCs/>
                <w:color w:val="000000"/>
                <w:sz w:val="24"/>
                <w:szCs w:val="24"/>
                <w:lang w:val="zh-CN"/>
              </w:rPr>
              <w:t>，按照无效投标处理。</w:t>
            </w:r>
          </w:p>
          <w:p w14:paraId="0DD86865">
            <w:pPr>
              <w:autoSpaceDE w:val="0"/>
              <w:autoSpaceDN w:val="0"/>
              <w:adjustRightInd w:val="0"/>
              <w:spacing w:line="360" w:lineRule="auto"/>
              <w:rPr>
                <w:rFonts w:hint="eastAsia" w:ascii="宋体" w:hAnsi="宋体" w:cs="宋体"/>
                <w:bCs/>
                <w:color w:val="000000"/>
                <w:sz w:val="24"/>
                <w:szCs w:val="24"/>
              </w:rPr>
            </w:pPr>
            <w:r>
              <w:rPr>
                <w:rFonts w:hint="eastAsia" w:ascii="宋体" w:hAnsi="宋体" w:cs="宋体"/>
                <w:bCs/>
                <w:color w:val="000000"/>
                <w:sz w:val="24"/>
                <w:szCs w:val="24"/>
              </w:rPr>
              <w:t>4.电子化交易系统与吉林省政府采购数字金融服务平台对接，支持供应商以电子保函形式缴纳投标（响应）保证金</w:t>
            </w:r>
          </w:p>
          <w:p w14:paraId="4229A61C">
            <w:pPr>
              <w:autoSpaceDE w:val="0"/>
              <w:autoSpaceDN w:val="0"/>
              <w:adjustRightInd w:val="0"/>
              <w:spacing w:line="360" w:lineRule="auto"/>
              <w:rPr>
                <w:rFonts w:hint="eastAsia" w:ascii="宋体" w:hAnsi="宋体" w:cs="宋体"/>
                <w:bCs/>
                <w:color w:val="000000"/>
                <w:sz w:val="24"/>
                <w:szCs w:val="24"/>
              </w:rPr>
            </w:pPr>
            <w:r>
              <w:rPr>
                <w:rFonts w:hint="eastAsia" w:ascii="宋体" w:hAnsi="宋体" w:cs="宋体"/>
                <w:bCs/>
                <w:color w:val="000000"/>
                <w:sz w:val="24"/>
                <w:szCs w:val="24"/>
                <w:lang w:val="zh-CN"/>
              </w:rPr>
              <w:t>注</w:t>
            </w:r>
            <w:r>
              <w:rPr>
                <w:rFonts w:hint="eastAsia" w:ascii="宋体" w:hAnsi="宋体" w:cs="宋体"/>
                <w:bCs/>
                <w:color w:val="000000"/>
                <w:sz w:val="24"/>
                <w:szCs w:val="24"/>
              </w:rPr>
              <w:t>：</w:t>
            </w:r>
            <w:r>
              <w:rPr>
                <w:rFonts w:hint="eastAsia" w:ascii="宋体" w:hAnsi="宋体" w:cs="宋体"/>
                <w:bCs/>
                <w:color w:val="000000"/>
                <w:sz w:val="24"/>
                <w:szCs w:val="24"/>
                <w:lang w:val="zh-CN"/>
              </w:rPr>
              <w:t>投标人应在电汇或转账凭证上明确用途、投标项目名称</w:t>
            </w:r>
            <w:r>
              <w:rPr>
                <w:rFonts w:hint="eastAsia" w:ascii="宋体" w:hAnsi="宋体" w:cs="宋体"/>
                <w:bCs/>
                <w:color w:val="000000"/>
                <w:sz w:val="24"/>
                <w:szCs w:val="24"/>
              </w:rPr>
              <w:t>，</w:t>
            </w:r>
            <w:r>
              <w:rPr>
                <w:rFonts w:hint="eastAsia" w:ascii="宋体" w:hAnsi="宋体" w:cs="宋体"/>
                <w:bCs/>
                <w:color w:val="000000"/>
                <w:sz w:val="24"/>
                <w:szCs w:val="24"/>
                <w:lang w:val="zh-CN"/>
              </w:rPr>
              <w:t>并于提交响应文件截止时间前将电汇或转账凭证、基本账户信息</w:t>
            </w:r>
            <w:r>
              <w:rPr>
                <w:rFonts w:hint="eastAsia" w:ascii="宋体" w:hAnsi="宋体" w:cs="宋体"/>
                <w:bCs/>
                <w:color w:val="000000"/>
                <w:sz w:val="24"/>
                <w:szCs w:val="24"/>
              </w:rPr>
              <w:t>（</w:t>
            </w:r>
            <w:r>
              <w:rPr>
                <w:rFonts w:hint="eastAsia" w:ascii="宋体" w:hAnsi="宋体" w:cs="宋体"/>
                <w:bCs/>
                <w:color w:val="000000"/>
                <w:sz w:val="24"/>
                <w:szCs w:val="24"/>
                <w:lang w:val="zh-CN"/>
              </w:rPr>
              <w:t>完整清晰</w:t>
            </w:r>
            <w:r>
              <w:rPr>
                <w:rFonts w:hint="eastAsia" w:ascii="宋体" w:hAnsi="宋体" w:cs="宋体"/>
                <w:bCs/>
                <w:color w:val="000000"/>
                <w:sz w:val="24"/>
                <w:szCs w:val="24"/>
              </w:rPr>
              <w:t>）</w:t>
            </w:r>
            <w:r>
              <w:rPr>
                <w:rFonts w:hint="eastAsia" w:ascii="宋体" w:hAnsi="宋体" w:cs="宋体"/>
                <w:bCs/>
                <w:color w:val="000000"/>
                <w:sz w:val="24"/>
                <w:szCs w:val="24"/>
                <w:lang w:val="zh-CN"/>
              </w:rPr>
              <w:t>以电子档扫描发送到采购代理机构</w:t>
            </w:r>
            <w:r>
              <w:fldChar w:fldCharType="begin"/>
            </w:r>
            <w:r>
              <w:instrText xml:space="preserve"> HYPERLINK "mailto:邮箱1171900302@qq.com" </w:instrText>
            </w:r>
            <w:r>
              <w:fldChar w:fldCharType="separate"/>
            </w:r>
            <w:r>
              <w:rPr>
                <w:rFonts w:hint="eastAsia" w:ascii="宋体" w:hAnsi="宋体" w:cs="宋体"/>
                <w:bCs/>
                <w:color w:val="000000"/>
                <w:sz w:val="24"/>
                <w:szCs w:val="24"/>
                <w:lang w:val="zh-CN"/>
              </w:rPr>
              <w:t>邮箱</w:t>
            </w:r>
            <w:r>
              <w:rPr>
                <w:rFonts w:hint="eastAsia" w:ascii="宋体" w:hAnsi="宋体" w:cs="宋体"/>
                <w:bCs/>
                <w:color w:val="000000"/>
                <w:sz w:val="24"/>
                <w:szCs w:val="24"/>
              </w:rPr>
              <w:t>3475721792@qq.com</w:t>
            </w:r>
            <w:r>
              <w:rPr>
                <w:rFonts w:hint="eastAsia" w:ascii="宋体" w:hAnsi="宋体" w:cs="宋体"/>
                <w:bCs/>
                <w:color w:val="000000"/>
                <w:sz w:val="24"/>
                <w:szCs w:val="24"/>
              </w:rPr>
              <w:fldChar w:fldCharType="end"/>
            </w:r>
            <w:r>
              <w:rPr>
                <w:rFonts w:hint="eastAsia" w:ascii="宋体" w:hAnsi="宋体" w:cs="宋体"/>
                <w:bCs/>
                <w:color w:val="000000"/>
                <w:sz w:val="24"/>
                <w:szCs w:val="24"/>
                <w:lang w:val="zh-CN"/>
              </w:rPr>
              <w:t>。</w:t>
            </w:r>
          </w:p>
        </w:tc>
      </w:tr>
      <w:tr w14:paraId="149CAA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556" w:type="pct"/>
            <w:vAlign w:val="center"/>
          </w:tcPr>
          <w:p w14:paraId="0484540D">
            <w:pPr>
              <w:autoSpaceDE w:val="0"/>
              <w:autoSpaceDN w:val="0"/>
              <w:adjustRightInd w:val="0"/>
              <w:spacing w:line="360" w:lineRule="auto"/>
              <w:jc w:val="center"/>
              <w:rPr>
                <w:rFonts w:hint="eastAsia" w:ascii="宋体" w:hAnsi="宋体" w:cs="宋体"/>
                <w:bCs/>
                <w:color w:val="000000"/>
                <w:sz w:val="24"/>
                <w:szCs w:val="24"/>
                <w:lang w:val="zh-CN"/>
              </w:rPr>
            </w:pPr>
            <w:r>
              <w:rPr>
                <w:rFonts w:hint="eastAsia" w:ascii="宋体" w:hAnsi="宋体" w:cs="宋体"/>
                <w:bCs/>
                <w:color w:val="000000"/>
                <w:sz w:val="24"/>
                <w:szCs w:val="24"/>
                <w:lang w:val="zh-CN"/>
              </w:rPr>
              <w:t>23</w:t>
            </w:r>
          </w:p>
        </w:tc>
        <w:tc>
          <w:tcPr>
            <w:tcW w:w="1513" w:type="pct"/>
            <w:shd w:val="clear" w:color="auto" w:fill="auto"/>
            <w:vAlign w:val="center"/>
          </w:tcPr>
          <w:p w14:paraId="63991FEE">
            <w:pPr>
              <w:autoSpaceDE w:val="0"/>
              <w:autoSpaceDN w:val="0"/>
              <w:adjustRightInd w:val="0"/>
              <w:spacing w:line="360" w:lineRule="auto"/>
              <w:jc w:val="center"/>
              <w:rPr>
                <w:rFonts w:hint="eastAsia" w:ascii="宋体" w:hAnsi="宋体" w:cs="宋体"/>
                <w:bCs/>
                <w:color w:val="000000"/>
                <w:sz w:val="24"/>
                <w:szCs w:val="24"/>
                <w:lang w:val="zh-CN"/>
              </w:rPr>
            </w:pPr>
            <w:r>
              <w:rPr>
                <w:rFonts w:hint="eastAsia" w:ascii="宋体" w:hAnsi="宋体" w:cs="宋体"/>
                <w:bCs/>
                <w:color w:val="000000"/>
                <w:sz w:val="24"/>
                <w:szCs w:val="24"/>
                <w:lang w:val="zh-CN"/>
              </w:rPr>
              <w:t>是否允许递交备选投标方案</w:t>
            </w:r>
          </w:p>
        </w:tc>
        <w:tc>
          <w:tcPr>
            <w:tcW w:w="2930" w:type="pct"/>
            <w:shd w:val="clear" w:color="auto" w:fill="auto"/>
            <w:vAlign w:val="center"/>
          </w:tcPr>
          <w:p w14:paraId="046AE9EC">
            <w:pPr>
              <w:autoSpaceDE w:val="0"/>
              <w:autoSpaceDN w:val="0"/>
              <w:adjustRightInd w:val="0"/>
              <w:spacing w:line="360" w:lineRule="auto"/>
              <w:rPr>
                <w:rFonts w:hint="eastAsia" w:ascii="宋体" w:hAnsi="宋体" w:cs="宋体"/>
                <w:bCs/>
                <w:color w:val="000000"/>
                <w:sz w:val="24"/>
                <w:szCs w:val="24"/>
                <w:lang w:val="zh-CN"/>
              </w:rPr>
            </w:pPr>
            <w:r>
              <w:rPr>
                <w:rFonts w:hint="eastAsia" w:ascii="宋体" w:hAnsi="宋体" w:cs="宋体"/>
                <w:bCs/>
                <w:color w:val="000000"/>
                <w:sz w:val="24"/>
                <w:szCs w:val="24"/>
                <w:lang w:val="zh-CN"/>
              </w:rPr>
              <w:t>不允许</w:t>
            </w:r>
          </w:p>
        </w:tc>
      </w:tr>
      <w:tr w14:paraId="0A75C2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3" w:hRule="atLeast"/>
        </w:trPr>
        <w:tc>
          <w:tcPr>
            <w:tcW w:w="556" w:type="pct"/>
            <w:vAlign w:val="center"/>
          </w:tcPr>
          <w:p w14:paraId="5954FAD1">
            <w:pPr>
              <w:autoSpaceDE w:val="0"/>
              <w:autoSpaceDN w:val="0"/>
              <w:adjustRightInd w:val="0"/>
              <w:spacing w:line="360" w:lineRule="auto"/>
              <w:jc w:val="center"/>
              <w:rPr>
                <w:rFonts w:hint="eastAsia" w:ascii="宋体" w:hAnsi="宋体" w:cs="宋体"/>
                <w:bCs/>
                <w:color w:val="000000"/>
                <w:sz w:val="24"/>
                <w:szCs w:val="24"/>
                <w:lang w:val="zh-CN"/>
              </w:rPr>
            </w:pPr>
            <w:r>
              <w:rPr>
                <w:rFonts w:hint="eastAsia" w:ascii="宋体" w:hAnsi="宋体" w:cs="宋体"/>
                <w:bCs/>
                <w:color w:val="000000"/>
                <w:sz w:val="24"/>
                <w:szCs w:val="24"/>
                <w:lang w:val="zh-CN"/>
              </w:rPr>
              <w:t>24</w:t>
            </w:r>
          </w:p>
        </w:tc>
        <w:tc>
          <w:tcPr>
            <w:tcW w:w="1513" w:type="pct"/>
            <w:shd w:val="clear" w:color="auto" w:fill="auto"/>
            <w:vAlign w:val="center"/>
          </w:tcPr>
          <w:p w14:paraId="2C2705C9">
            <w:pPr>
              <w:autoSpaceDE w:val="0"/>
              <w:autoSpaceDN w:val="0"/>
              <w:adjustRightInd w:val="0"/>
              <w:spacing w:line="360" w:lineRule="auto"/>
              <w:jc w:val="center"/>
              <w:rPr>
                <w:rFonts w:hint="eastAsia" w:ascii="宋体" w:hAnsi="宋体" w:cs="宋体"/>
                <w:bCs/>
                <w:color w:val="000000"/>
                <w:sz w:val="24"/>
                <w:szCs w:val="24"/>
                <w:lang w:val="zh-CN"/>
              </w:rPr>
            </w:pPr>
            <w:r>
              <w:rPr>
                <w:rFonts w:hint="eastAsia" w:ascii="宋体" w:hAnsi="宋体" w:cs="宋体"/>
                <w:bCs/>
                <w:color w:val="000000"/>
                <w:sz w:val="24"/>
                <w:szCs w:val="24"/>
              </w:rPr>
              <w:t>投标文件</w:t>
            </w:r>
            <w:r>
              <w:rPr>
                <w:rFonts w:hint="eastAsia" w:ascii="宋体" w:hAnsi="宋体" w:cs="宋体"/>
                <w:bCs/>
                <w:color w:val="000000"/>
                <w:sz w:val="24"/>
                <w:szCs w:val="24"/>
                <w:lang w:val="zh-CN"/>
              </w:rPr>
              <w:t>盖章要求</w:t>
            </w:r>
          </w:p>
        </w:tc>
        <w:tc>
          <w:tcPr>
            <w:tcW w:w="2930" w:type="pct"/>
            <w:shd w:val="clear" w:color="auto" w:fill="auto"/>
            <w:vAlign w:val="center"/>
          </w:tcPr>
          <w:p w14:paraId="7015AC09">
            <w:pPr>
              <w:autoSpaceDE w:val="0"/>
              <w:autoSpaceDN w:val="0"/>
              <w:adjustRightInd w:val="0"/>
              <w:spacing w:line="360" w:lineRule="auto"/>
              <w:rPr>
                <w:rFonts w:hint="eastAsia" w:ascii="宋体" w:hAnsi="宋体" w:cs="宋体"/>
                <w:bCs/>
                <w:color w:val="000000"/>
                <w:sz w:val="24"/>
                <w:szCs w:val="24"/>
                <w:lang w:val="zh-CN"/>
              </w:rPr>
            </w:pPr>
            <w:r>
              <w:rPr>
                <w:rFonts w:hint="eastAsia" w:ascii="宋体" w:hAnsi="宋体" w:cs="宋体"/>
                <w:bCs/>
                <w:color w:val="000000"/>
                <w:sz w:val="24"/>
                <w:szCs w:val="24"/>
                <w:lang w:val="zh-CN"/>
              </w:rPr>
              <w:t>投标文件按“第六章投标文件格式”中提供的格式要求盖章。公章采用单位CA章或单位公章。</w:t>
            </w:r>
          </w:p>
        </w:tc>
      </w:tr>
      <w:tr w14:paraId="30FA89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556" w:type="pct"/>
            <w:vAlign w:val="center"/>
          </w:tcPr>
          <w:p w14:paraId="62A2D61F">
            <w:pPr>
              <w:autoSpaceDE w:val="0"/>
              <w:autoSpaceDN w:val="0"/>
              <w:adjustRightInd w:val="0"/>
              <w:spacing w:line="360" w:lineRule="auto"/>
              <w:jc w:val="center"/>
              <w:rPr>
                <w:rFonts w:hint="eastAsia" w:ascii="宋体" w:hAnsi="宋体" w:cs="宋体"/>
                <w:bCs/>
                <w:color w:val="000000"/>
                <w:sz w:val="24"/>
                <w:szCs w:val="24"/>
                <w:lang w:val="zh-CN"/>
              </w:rPr>
            </w:pPr>
            <w:r>
              <w:rPr>
                <w:rFonts w:hint="eastAsia" w:ascii="宋体" w:hAnsi="宋体" w:cs="宋体"/>
                <w:bCs/>
                <w:color w:val="000000"/>
                <w:sz w:val="24"/>
                <w:szCs w:val="24"/>
                <w:lang w:val="zh-CN"/>
              </w:rPr>
              <w:t>25</w:t>
            </w:r>
          </w:p>
        </w:tc>
        <w:tc>
          <w:tcPr>
            <w:tcW w:w="1513" w:type="pct"/>
            <w:shd w:val="clear" w:color="auto" w:fill="auto"/>
            <w:vAlign w:val="center"/>
          </w:tcPr>
          <w:p w14:paraId="1BFD5C33">
            <w:pPr>
              <w:autoSpaceDE w:val="0"/>
              <w:autoSpaceDN w:val="0"/>
              <w:adjustRightInd w:val="0"/>
              <w:spacing w:line="360" w:lineRule="auto"/>
              <w:jc w:val="center"/>
              <w:rPr>
                <w:rFonts w:hint="eastAsia" w:ascii="宋体" w:hAnsi="宋体" w:cs="宋体"/>
                <w:bCs/>
                <w:color w:val="000000"/>
                <w:sz w:val="24"/>
                <w:szCs w:val="24"/>
                <w:lang w:val="zh-CN"/>
              </w:rPr>
            </w:pPr>
            <w:r>
              <w:rPr>
                <w:rFonts w:hint="eastAsia" w:ascii="宋体" w:hAnsi="宋体" w:cs="宋体"/>
                <w:bCs/>
                <w:color w:val="000000"/>
                <w:sz w:val="24"/>
                <w:szCs w:val="24"/>
                <w:lang w:val="zh-CN"/>
              </w:rPr>
              <w:t>电子投标文件的上传和递交</w:t>
            </w:r>
          </w:p>
          <w:p w14:paraId="61C6CA72">
            <w:pPr>
              <w:autoSpaceDE w:val="0"/>
              <w:autoSpaceDN w:val="0"/>
              <w:adjustRightInd w:val="0"/>
              <w:spacing w:line="360" w:lineRule="auto"/>
              <w:jc w:val="center"/>
              <w:rPr>
                <w:rFonts w:hint="eastAsia" w:ascii="宋体" w:hAnsi="宋体" w:cs="宋体"/>
                <w:bCs/>
                <w:color w:val="000000"/>
                <w:sz w:val="24"/>
                <w:szCs w:val="24"/>
                <w:lang w:val="zh-CN"/>
              </w:rPr>
            </w:pPr>
          </w:p>
        </w:tc>
        <w:tc>
          <w:tcPr>
            <w:tcW w:w="2930" w:type="pct"/>
            <w:shd w:val="clear" w:color="auto" w:fill="auto"/>
            <w:vAlign w:val="center"/>
          </w:tcPr>
          <w:p w14:paraId="225160EA">
            <w:pPr>
              <w:widowControl/>
              <w:jc w:val="left"/>
              <w:rPr>
                <w:rFonts w:hint="eastAsia" w:ascii="宋体" w:hAnsi="宋体" w:cs="宋体"/>
              </w:rPr>
            </w:pPr>
            <w:r>
              <w:rPr>
                <w:rFonts w:hint="eastAsia" w:ascii="宋体" w:hAnsi="宋体" w:cs="宋体"/>
                <w:color w:val="000000"/>
                <w:kern w:val="0"/>
                <w:sz w:val="24"/>
                <w:szCs w:val="24"/>
                <w:lang w:bidi="ar"/>
              </w:rPr>
              <w:t xml:space="preserve">1.“电子加密投标文件”的上传、递交，具体详见《政府采购项目电子交易管理操作指南-供应商》（供应商自行去政采云系统上进行下载）： </w:t>
            </w:r>
          </w:p>
          <w:p w14:paraId="26FFC142">
            <w:pPr>
              <w:widowControl/>
              <w:jc w:val="left"/>
              <w:rPr>
                <w:rFonts w:hint="eastAsia" w:ascii="宋体" w:hAnsi="宋体" w:cs="宋体"/>
              </w:rPr>
            </w:pPr>
            <w:r>
              <w:rPr>
                <w:rFonts w:hint="eastAsia" w:ascii="宋体" w:hAnsi="宋体" w:cs="宋体"/>
                <w:color w:val="000000"/>
                <w:kern w:val="0"/>
                <w:sz w:val="24"/>
                <w:szCs w:val="24"/>
                <w:lang w:bidi="ar"/>
              </w:rPr>
              <w:t xml:space="preserve">（1）供应商应在投标文件递交截止时间前将“电子加密投标文件”成功上传递交至“政府采购云平台”，采购组织机构开启解密标书后，方可解密电子加密投标文件。 </w:t>
            </w:r>
          </w:p>
          <w:p w14:paraId="3CA5C90F">
            <w:pPr>
              <w:widowControl/>
              <w:jc w:val="left"/>
              <w:rPr>
                <w:rFonts w:hint="eastAsia" w:ascii="宋体" w:hAnsi="宋体" w:cs="宋体"/>
              </w:rPr>
            </w:pPr>
            <w:r>
              <w:rPr>
                <w:rFonts w:hint="eastAsia" w:ascii="宋体" w:hAnsi="宋体" w:cs="宋体"/>
                <w:color w:val="000000"/>
                <w:kern w:val="0"/>
                <w:sz w:val="24"/>
                <w:szCs w:val="24"/>
                <w:lang w:bidi="ar"/>
              </w:rPr>
              <w:t xml:space="preserve">（2）电子加密投标文件上传成功后，在“电子投标文件上传-进行中”标签页下，显示状态为“已上传”。可在此处下载打印回执；在提交投标文件截止时间前，供应商可撤回电子加密投标文件，修改内容。 </w:t>
            </w:r>
          </w:p>
          <w:p w14:paraId="3F1F1440">
            <w:pPr>
              <w:widowControl/>
              <w:jc w:val="left"/>
              <w:rPr>
                <w:rFonts w:hint="eastAsia" w:ascii="宋体" w:hAnsi="宋体" w:cs="宋体"/>
              </w:rPr>
            </w:pPr>
            <w:r>
              <w:rPr>
                <w:rFonts w:hint="eastAsia" w:ascii="宋体" w:hAnsi="宋体" w:cs="宋体"/>
                <w:color w:val="000000"/>
                <w:kern w:val="0"/>
                <w:sz w:val="24"/>
                <w:szCs w:val="24"/>
                <w:lang w:bidi="ar"/>
              </w:rPr>
              <w:t>2.“备份投标文件”的递交要求：应通过“政府采购云平台”成功上传递交的“电子加密投标文件</w:t>
            </w:r>
            <w:r>
              <w:rPr>
                <w:rFonts w:hint="eastAsia" w:ascii="宋体" w:hAnsi="宋体" w:cs="宋体"/>
                <w:b/>
                <w:bCs/>
                <w:color w:val="000000"/>
                <w:kern w:val="0"/>
                <w:sz w:val="24"/>
                <w:szCs w:val="24"/>
                <w:lang w:bidi="ar"/>
              </w:rPr>
              <w:t>”</w:t>
            </w:r>
            <w:r>
              <w:rPr>
                <w:rFonts w:hint="eastAsia" w:ascii="宋体" w:hAnsi="宋体" w:cs="宋体"/>
                <w:color w:val="000000"/>
                <w:kern w:val="0"/>
                <w:sz w:val="24"/>
                <w:szCs w:val="24"/>
                <w:lang w:bidi="ar"/>
              </w:rPr>
              <w:t xml:space="preserve">已按规定时间解密。无法按时解密的，以操作指南执行。 </w:t>
            </w:r>
          </w:p>
          <w:p w14:paraId="26589FE3">
            <w:pPr>
              <w:widowControl/>
              <w:jc w:val="left"/>
              <w:rPr>
                <w:rFonts w:hint="eastAsia" w:ascii="宋体" w:hAnsi="宋体" w:cs="宋体"/>
                <w:bCs/>
                <w:color w:val="000000"/>
                <w:kern w:val="15"/>
                <w:sz w:val="24"/>
                <w:szCs w:val="24"/>
                <w:lang w:val="zh-CN"/>
              </w:rPr>
            </w:pPr>
            <w:r>
              <w:rPr>
                <w:rFonts w:hint="eastAsia" w:ascii="宋体" w:hAnsi="宋体" w:cs="宋体"/>
                <w:color w:val="000000"/>
                <w:kern w:val="0"/>
                <w:sz w:val="24"/>
                <w:szCs w:val="24"/>
                <w:lang w:bidi="ar"/>
              </w:rPr>
              <w:t>3.解密CA必须是上传并制作电子投标文件CA锁。</w:t>
            </w:r>
          </w:p>
        </w:tc>
      </w:tr>
      <w:tr w14:paraId="1F44F8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556" w:type="pct"/>
            <w:vAlign w:val="center"/>
          </w:tcPr>
          <w:p w14:paraId="167EA7E1">
            <w:pPr>
              <w:autoSpaceDE w:val="0"/>
              <w:autoSpaceDN w:val="0"/>
              <w:adjustRightInd w:val="0"/>
              <w:spacing w:line="360" w:lineRule="auto"/>
              <w:jc w:val="center"/>
              <w:rPr>
                <w:rFonts w:hint="eastAsia" w:ascii="宋体" w:hAnsi="宋体" w:cs="宋体"/>
                <w:bCs/>
                <w:color w:val="000000"/>
                <w:sz w:val="24"/>
                <w:szCs w:val="24"/>
                <w:lang w:val="zh-CN"/>
              </w:rPr>
            </w:pPr>
            <w:r>
              <w:rPr>
                <w:rFonts w:hint="eastAsia" w:ascii="宋体" w:hAnsi="宋体" w:cs="宋体"/>
                <w:bCs/>
                <w:color w:val="000000"/>
                <w:sz w:val="24"/>
                <w:szCs w:val="24"/>
                <w:lang w:val="zh-CN"/>
              </w:rPr>
              <w:t>26</w:t>
            </w:r>
          </w:p>
        </w:tc>
        <w:tc>
          <w:tcPr>
            <w:tcW w:w="1513" w:type="pct"/>
            <w:shd w:val="clear" w:color="auto" w:fill="auto"/>
            <w:vAlign w:val="center"/>
          </w:tcPr>
          <w:p w14:paraId="13FB13AB">
            <w:pPr>
              <w:autoSpaceDE w:val="0"/>
              <w:autoSpaceDN w:val="0"/>
              <w:adjustRightInd w:val="0"/>
              <w:spacing w:line="360" w:lineRule="auto"/>
              <w:jc w:val="center"/>
              <w:rPr>
                <w:rFonts w:hint="eastAsia" w:ascii="宋体" w:hAnsi="宋体" w:cs="宋体"/>
                <w:bCs/>
                <w:color w:val="000000"/>
                <w:sz w:val="24"/>
                <w:szCs w:val="24"/>
                <w:lang w:val="zh-CN"/>
              </w:rPr>
            </w:pPr>
            <w:r>
              <w:rPr>
                <w:rFonts w:hint="eastAsia" w:ascii="宋体" w:hAnsi="宋体" w:cs="宋体"/>
                <w:bCs/>
                <w:color w:val="000000"/>
                <w:sz w:val="24"/>
                <w:szCs w:val="24"/>
              </w:rPr>
              <w:t>投标文件解密</w:t>
            </w:r>
          </w:p>
        </w:tc>
        <w:tc>
          <w:tcPr>
            <w:tcW w:w="2930" w:type="pct"/>
            <w:shd w:val="clear" w:color="auto" w:fill="auto"/>
            <w:vAlign w:val="center"/>
          </w:tcPr>
          <w:p w14:paraId="222E520D">
            <w:pPr>
              <w:widowControl/>
              <w:jc w:val="left"/>
              <w:rPr>
                <w:rFonts w:hint="eastAsia" w:ascii="宋体" w:hAnsi="宋体" w:cs="宋体"/>
                <w:bCs/>
                <w:color w:val="000000"/>
                <w:sz w:val="24"/>
                <w:szCs w:val="24"/>
                <w:lang w:val="zh-CN"/>
              </w:rPr>
            </w:pPr>
            <w:r>
              <w:rPr>
                <w:rFonts w:hint="eastAsia" w:ascii="宋体" w:hAnsi="宋体" w:cs="宋体"/>
                <w:bCs/>
                <w:color w:val="000000"/>
                <w:sz w:val="24"/>
                <w:szCs w:val="24"/>
                <w:lang w:val="zh-CN"/>
              </w:rPr>
              <w:t xml:space="preserve">各供应商代表应当在接到解密通知后30分钟内自行完成“电子加密投标文件”的在线解密（解密电子加密投标文件必须插入CA）。 </w:t>
            </w:r>
          </w:p>
          <w:p w14:paraId="660E88C6">
            <w:pPr>
              <w:widowControl/>
              <w:jc w:val="left"/>
              <w:rPr>
                <w:rFonts w:hint="eastAsia" w:ascii="宋体" w:hAnsi="宋体" w:cs="宋体"/>
                <w:bCs/>
                <w:color w:val="000000"/>
                <w:sz w:val="24"/>
                <w:szCs w:val="24"/>
                <w:lang w:val="zh-CN"/>
              </w:rPr>
            </w:pPr>
            <w:r>
              <w:rPr>
                <w:rFonts w:hint="eastAsia" w:ascii="宋体" w:hAnsi="宋体" w:cs="宋体"/>
                <w:bCs/>
                <w:color w:val="000000"/>
                <w:sz w:val="24"/>
                <w:szCs w:val="24"/>
                <w:lang w:val="zh-CN"/>
              </w:rPr>
              <w:t xml:space="preserve">（1）如政采云上电子加密投标文件出现解密失败情况，供应商应根据操作指南或联系采购代理机构，处理后政采云系统仍无法识别，不能成功上传的视为电子投标文件撤回。 </w:t>
            </w:r>
          </w:p>
          <w:p w14:paraId="56A1FBC7">
            <w:pPr>
              <w:widowControl/>
              <w:jc w:val="left"/>
              <w:rPr>
                <w:rFonts w:hint="eastAsia" w:ascii="宋体" w:hAnsi="宋体" w:cs="宋体"/>
                <w:bCs/>
                <w:color w:val="000000"/>
                <w:sz w:val="24"/>
                <w:szCs w:val="24"/>
                <w:lang w:val="zh-CN"/>
              </w:rPr>
            </w:pPr>
            <w:r>
              <w:rPr>
                <w:rFonts w:hint="eastAsia" w:ascii="宋体" w:hAnsi="宋体" w:cs="宋体"/>
                <w:bCs/>
                <w:color w:val="000000"/>
                <w:sz w:val="24"/>
                <w:szCs w:val="24"/>
                <w:lang w:val="zh-CN"/>
              </w:rPr>
              <w:t>（2）投标方无需在开标当天到达开标现场对电子投标进行解密， 可在公司办公场地在规定时间内对电子投标文件进行解密。</w:t>
            </w:r>
          </w:p>
        </w:tc>
      </w:tr>
      <w:tr w14:paraId="1E54AD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0" w:hRule="atLeast"/>
        </w:trPr>
        <w:tc>
          <w:tcPr>
            <w:tcW w:w="556" w:type="pct"/>
            <w:vAlign w:val="center"/>
          </w:tcPr>
          <w:p w14:paraId="33ED071B">
            <w:pPr>
              <w:autoSpaceDE w:val="0"/>
              <w:autoSpaceDN w:val="0"/>
              <w:adjustRightInd w:val="0"/>
              <w:spacing w:line="360" w:lineRule="auto"/>
              <w:jc w:val="center"/>
              <w:rPr>
                <w:rFonts w:hint="eastAsia" w:ascii="宋体" w:hAnsi="宋体" w:cs="宋体"/>
                <w:bCs/>
                <w:color w:val="000000"/>
                <w:sz w:val="24"/>
                <w:szCs w:val="24"/>
                <w:lang w:val="zh-CN"/>
              </w:rPr>
            </w:pPr>
            <w:r>
              <w:rPr>
                <w:rFonts w:hint="eastAsia" w:ascii="宋体" w:hAnsi="宋体" w:cs="宋体"/>
                <w:bCs/>
                <w:color w:val="000000"/>
                <w:sz w:val="24"/>
                <w:szCs w:val="24"/>
                <w:lang w:val="zh-CN"/>
              </w:rPr>
              <w:t>27</w:t>
            </w:r>
          </w:p>
        </w:tc>
        <w:tc>
          <w:tcPr>
            <w:tcW w:w="1513" w:type="pct"/>
            <w:shd w:val="clear" w:color="auto" w:fill="auto"/>
            <w:vAlign w:val="center"/>
          </w:tcPr>
          <w:p w14:paraId="27365E5E">
            <w:pPr>
              <w:autoSpaceDE w:val="0"/>
              <w:autoSpaceDN w:val="0"/>
              <w:adjustRightInd w:val="0"/>
              <w:spacing w:line="360" w:lineRule="auto"/>
              <w:jc w:val="center"/>
              <w:rPr>
                <w:rFonts w:hint="eastAsia" w:ascii="宋体" w:hAnsi="宋体" w:cs="宋体"/>
                <w:bCs/>
                <w:color w:val="000000"/>
                <w:sz w:val="24"/>
                <w:szCs w:val="24"/>
                <w:lang w:val="zh-CN"/>
              </w:rPr>
            </w:pPr>
            <w:r>
              <w:rPr>
                <w:rFonts w:hint="eastAsia" w:ascii="宋体" w:hAnsi="宋体" w:cs="宋体"/>
                <w:bCs/>
                <w:color w:val="000000"/>
                <w:sz w:val="24"/>
                <w:szCs w:val="24"/>
                <w:lang w:val="zh-CN"/>
              </w:rPr>
              <w:t>投标文件式样</w:t>
            </w:r>
          </w:p>
        </w:tc>
        <w:tc>
          <w:tcPr>
            <w:tcW w:w="2930" w:type="pct"/>
            <w:shd w:val="clear" w:color="auto" w:fill="auto"/>
            <w:vAlign w:val="center"/>
          </w:tcPr>
          <w:p w14:paraId="6BCF0188">
            <w:pPr>
              <w:widowControl/>
              <w:jc w:val="left"/>
              <w:rPr>
                <w:rFonts w:hint="eastAsia" w:ascii="宋体" w:hAnsi="宋体" w:cs="宋体"/>
              </w:rPr>
            </w:pPr>
            <w:r>
              <w:rPr>
                <w:rFonts w:hint="eastAsia" w:ascii="宋体" w:hAnsi="宋体" w:cs="宋体"/>
                <w:color w:val="000000"/>
                <w:kern w:val="0"/>
                <w:sz w:val="24"/>
                <w:szCs w:val="24"/>
                <w:lang w:bidi="ar"/>
              </w:rPr>
              <w:t xml:space="preserve">1.投标文件编制工具：投标文件编制工具为政采云电子交易客户端，请自行在网上下载。 </w:t>
            </w:r>
          </w:p>
          <w:p w14:paraId="7F7A9FE2">
            <w:pPr>
              <w:widowControl/>
              <w:jc w:val="left"/>
              <w:rPr>
                <w:rFonts w:hint="eastAsia" w:ascii="宋体" w:hAnsi="宋体" w:cs="宋体"/>
                <w:bCs/>
                <w:color w:val="000000"/>
                <w:sz w:val="24"/>
                <w:szCs w:val="24"/>
                <w:lang w:val="zh-CN"/>
              </w:rPr>
            </w:pPr>
            <w:r>
              <w:rPr>
                <w:rFonts w:hint="eastAsia" w:ascii="宋体" w:hAnsi="宋体" w:cs="宋体"/>
                <w:color w:val="000000"/>
                <w:kern w:val="0"/>
                <w:sz w:val="24"/>
                <w:szCs w:val="24"/>
                <w:lang w:bidi="ar"/>
              </w:rPr>
              <w:t>2.本项目投标时采用电子文件。</w:t>
            </w:r>
          </w:p>
        </w:tc>
      </w:tr>
      <w:tr w14:paraId="6085C0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0" w:hRule="atLeast"/>
        </w:trPr>
        <w:tc>
          <w:tcPr>
            <w:tcW w:w="556" w:type="pct"/>
            <w:vAlign w:val="center"/>
          </w:tcPr>
          <w:p w14:paraId="318EAA22">
            <w:pPr>
              <w:autoSpaceDE w:val="0"/>
              <w:autoSpaceDN w:val="0"/>
              <w:adjustRightInd w:val="0"/>
              <w:spacing w:line="360" w:lineRule="auto"/>
              <w:jc w:val="center"/>
              <w:rPr>
                <w:rFonts w:hint="eastAsia" w:ascii="宋体" w:hAnsi="宋体" w:cs="宋体"/>
                <w:bCs/>
                <w:color w:val="000000"/>
                <w:sz w:val="24"/>
                <w:szCs w:val="24"/>
                <w:lang w:val="zh-CN"/>
              </w:rPr>
            </w:pPr>
            <w:r>
              <w:rPr>
                <w:rFonts w:hint="eastAsia" w:ascii="宋体" w:hAnsi="宋体" w:cs="宋体"/>
                <w:bCs/>
                <w:color w:val="000000"/>
                <w:sz w:val="24"/>
                <w:szCs w:val="24"/>
                <w:lang w:val="zh-CN"/>
              </w:rPr>
              <w:t>28</w:t>
            </w:r>
          </w:p>
        </w:tc>
        <w:tc>
          <w:tcPr>
            <w:tcW w:w="1513" w:type="pct"/>
            <w:shd w:val="clear" w:color="auto" w:fill="auto"/>
            <w:vAlign w:val="center"/>
          </w:tcPr>
          <w:p w14:paraId="4921AB46">
            <w:pPr>
              <w:autoSpaceDE w:val="0"/>
              <w:autoSpaceDN w:val="0"/>
              <w:adjustRightInd w:val="0"/>
              <w:spacing w:line="360" w:lineRule="auto"/>
              <w:jc w:val="center"/>
              <w:rPr>
                <w:rFonts w:hint="eastAsia" w:ascii="宋体" w:hAnsi="宋体" w:cs="宋体"/>
                <w:bCs/>
                <w:color w:val="000000"/>
                <w:sz w:val="24"/>
                <w:szCs w:val="24"/>
                <w:lang w:val="zh-CN"/>
              </w:rPr>
            </w:pPr>
            <w:r>
              <w:rPr>
                <w:rFonts w:hint="eastAsia" w:ascii="宋体" w:hAnsi="宋体" w:cs="宋体"/>
                <w:bCs/>
                <w:color w:val="000000"/>
                <w:sz w:val="24"/>
                <w:szCs w:val="24"/>
                <w:lang w:val="zh-CN"/>
              </w:rPr>
              <w:t>开标时间和地点</w:t>
            </w:r>
          </w:p>
        </w:tc>
        <w:tc>
          <w:tcPr>
            <w:tcW w:w="2930" w:type="pct"/>
            <w:shd w:val="clear" w:color="auto" w:fill="auto"/>
          </w:tcPr>
          <w:p w14:paraId="2BB47CDD">
            <w:pPr>
              <w:autoSpaceDE w:val="0"/>
              <w:autoSpaceDN w:val="0"/>
              <w:adjustRightInd w:val="0"/>
              <w:spacing w:line="360" w:lineRule="auto"/>
              <w:rPr>
                <w:rFonts w:hint="eastAsia" w:ascii="宋体" w:hAnsi="宋体" w:cs="宋体"/>
                <w:sz w:val="24"/>
                <w:szCs w:val="24"/>
              </w:rPr>
            </w:pPr>
            <w:r>
              <w:rPr>
                <w:rFonts w:hint="eastAsia" w:ascii="宋体" w:hAnsi="宋体" w:cs="宋体"/>
                <w:bCs/>
                <w:color w:val="000000"/>
                <w:sz w:val="24"/>
                <w:szCs w:val="24"/>
              </w:rPr>
              <w:t>开标时间：</w:t>
            </w:r>
            <w:r>
              <w:rPr>
                <w:rFonts w:hint="eastAsia" w:ascii="宋体" w:hAnsi="宋体" w:cs="宋体"/>
                <w:bCs/>
                <w:color w:val="000000"/>
                <w:sz w:val="24"/>
                <w:szCs w:val="24"/>
                <w:highlight w:val="none"/>
              </w:rPr>
              <w:t>2025年</w:t>
            </w:r>
            <w:r>
              <w:rPr>
                <w:rFonts w:hint="eastAsia" w:ascii="宋体" w:hAnsi="宋体" w:cs="宋体"/>
                <w:bCs/>
                <w:color w:val="000000"/>
                <w:sz w:val="24"/>
                <w:szCs w:val="24"/>
                <w:highlight w:val="none"/>
                <w:lang w:val="en-US" w:eastAsia="zh-CN"/>
              </w:rPr>
              <w:t>5</w:t>
            </w:r>
            <w:r>
              <w:rPr>
                <w:rFonts w:hint="eastAsia" w:ascii="宋体" w:hAnsi="宋体" w:cs="宋体"/>
                <w:bCs/>
                <w:color w:val="000000"/>
                <w:sz w:val="24"/>
                <w:szCs w:val="24"/>
                <w:highlight w:val="none"/>
              </w:rPr>
              <w:t>月</w:t>
            </w:r>
            <w:r>
              <w:rPr>
                <w:rFonts w:hint="eastAsia" w:ascii="宋体" w:hAnsi="宋体" w:cs="宋体"/>
                <w:bCs/>
                <w:color w:val="000000"/>
                <w:sz w:val="24"/>
                <w:szCs w:val="24"/>
                <w:highlight w:val="none"/>
                <w:lang w:val="en-US" w:eastAsia="zh-CN"/>
              </w:rPr>
              <w:t>9</w:t>
            </w:r>
            <w:r>
              <w:rPr>
                <w:rFonts w:hint="eastAsia" w:ascii="宋体" w:hAnsi="宋体" w:cs="宋体"/>
                <w:bCs/>
                <w:color w:val="000000"/>
                <w:sz w:val="24"/>
                <w:szCs w:val="24"/>
                <w:highlight w:val="none"/>
              </w:rPr>
              <w:t>日</w:t>
            </w:r>
            <w:r>
              <w:rPr>
                <w:rFonts w:hint="eastAsia" w:ascii="宋体" w:hAnsi="宋体" w:cs="宋体"/>
                <w:bCs/>
                <w:color w:val="000000"/>
                <w:sz w:val="24"/>
                <w:szCs w:val="24"/>
                <w:highlight w:val="none"/>
                <w:lang w:val="en-US" w:eastAsia="zh-CN"/>
              </w:rPr>
              <w:t>10</w:t>
            </w:r>
            <w:r>
              <w:rPr>
                <w:rFonts w:hint="eastAsia" w:ascii="宋体" w:hAnsi="宋体" w:cs="宋体"/>
                <w:bCs/>
                <w:color w:val="000000"/>
                <w:sz w:val="24"/>
                <w:szCs w:val="24"/>
                <w:highlight w:val="none"/>
              </w:rPr>
              <w:t>时</w:t>
            </w:r>
            <w:r>
              <w:rPr>
                <w:rFonts w:hint="eastAsia" w:ascii="宋体" w:hAnsi="宋体" w:cs="宋体"/>
                <w:bCs/>
                <w:color w:val="000000"/>
                <w:sz w:val="24"/>
                <w:szCs w:val="24"/>
                <w:highlight w:val="none"/>
                <w:lang w:val="en-US" w:eastAsia="zh-CN"/>
              </w:rPr>
              <w:t>0</w:t>
            </w:r>
            <w:r>
              <w:rPr>
                <w:rFonts w:hint="eastAsia" w:ascii="宋体" w:hAnsi="宋体" w:cs="宋体"/>
                <w:bCs/>
                <w:color w:val="000000"/>
                <w:sz w:val="24"/>
                <w:szCs w:val="24"/>
                <w:highlight w:val="none"/>
              </w:rPr>
              <w:t>0分</w:t>
            </w:r>
          </w:p>
          <w:p w14:paraId="4626FB5C">
            <w:pPr>
              <w:autoSpaceDE w:val="0"/>
              <w:autoSpaceDN w:val="0"/>
              <w:adjustRightInd w:val="0"/>
              <w:spacing w:line="360" w:lineRule="auto"/>
              <w:rPr>
                <w:rFonts w:hint="eastAsia" w:ascii="宋体" w:hAnsi="宋体" w:cs="宋体"/>
                <w:bCs/>
                <w:color w:val="000000"/>
                <w:sz w:val="24"/>
                <w:szCs w:val="24"/>
                <w:lang w:val="zh-CN"/>
              </w:rPr>
            </w:pPr>
            <w:r>
              <w:rPr>
                <w:rFonts w:hint="eastAsia" w:ascii="宋体" w:hAnsi="宋体" w:cs="宋体"/>
                <w:bCs/>
                <w:color w:val="000000"/>
                <w:sz w:val="24"/>
                <w:szCs w:val="24"/>
              </w:rPr>
              <w:t>开标地点：“政采云”平台</w:t>
            </w:r>
          </w:p>
        </w:tc>
      </w:tr>
      <w:tr w14:paraId="1D209D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5" w:hRule="atLeast"/>
        </w:trPr>
        <w:tc>
          <w:tcPr>
            <w:tcW w:w="556" w:type="pct"/>
            <w:vAlign w:val="center"/>
          </w:tcPr>
          <w:p w14:paraId="063404CC">
            <w:pPr>
              <w:autoSpaceDE w:val="0"/>
              <w:autoSpaceDN w:val="0"/>
              <w:adjustRightInd w:val="0"/>
              <w:spacing w:line="360" w:lineRule="auto"/>
              <w:jc w:val="center"/>
              <w:rPr>
                <w:rFonts w:hint="eastAsia" w:ascii="宋体" w:hAnsi="宋体" w:cs="宋体"/>
                <w:bCs/>
                <w:color w:val="000000"/>
                <w:sz w:val="24"/>
                <w:szCs w:val="24"/>
                <w:lang w:val="zh-CN"/>
              </w:rPr>
            </w:pPr>
            <w:r>
              <w:rPr>
                <w:rFonts w:hint="eastAsia" w:ascii="宋体" w:hAnsi="宋体" w:cs="宋体"/>
                <w:bCs/>
                <w:color w:val="000000"/>
                <w:sz w:val="24"/>
                <w:szCs w:val="24"/>
                <w:lang w:val="zh-CN"/>
              </w:rPr>
              <w:t>29</w:t>
            </w:r>
          </w:p>
        </w:tc>
        <w:tc>
          <w:tcPr>
            <w:tcW w:w="1513" w:type="pct"/>
            <w:shd w:val="clear" w:color="auto" w:fill="auto"/>
            <w:vAlign w:val="center"/>
          </w:tcPr>
          <w:p w14:paraId="14A8A881">
            <w:pPr>
              <w:autoSpaceDE w:val="0"/>
              <w:autoSpaceDN w:val="0"/>
              <w:adjustRightInd w:val="0"/>
              <w:spacing w:line="360" w:lineRule="auto"/>
              <w:jc w:val="center"/>
              <w:rPr>
                <w:rFonts w:hint="eastAsia" w:ascii="宋体" w:hAnsi="宋体" w:cs="宋体"/>
                <w:bCs/>
                <w:color w:val="000000"/>
                <w:sz w:val="24"/>
                <w:szCs w:val="24"/>
              </w:rPr>
            </w:pPr>
            <w:r>
              <w:rPr>
                <w:rFonts w:hint="eastAsia" w:ascii="宋体" w:hAnsi="宋体" w:cs="宋体"/>
                <w:bCs/>
                <w:color w:val="000000"/>
                <w:sz w:val="24"/>
                <w:szCs w:val="24"/>
                <w:lang w:val="zh-CN"/>
              </w:rPr>
              <w:t>评标委员会的组建</w:t>
            </w:r>
          </w:p>
        </w:tc>
        <w:tc>
          <w:tcPr>
            <w:tcW w:w="2930" w:type="pct"/>
            <w:shd w:val="clear" w:color="auto" w:fill="auto"/>
          </w:tcPr>
          <w:p w14:paraId="25551EA7">
            <w:pPr>
              <w:spacing w:line="360" w:lineRule="auto"/>
              <w:jc w:val="left"/>
              <w:rPr>
                <w:rFonts w:hint="eastAsia" w:ascii="宋体" w:hAnsi="宋体" w:cs="宋体"/>
                <w:bCs/>
                <w:sz w:val="24"/>
                <w:szCs w:val="24"/>
              </w:rPr>
            </w:pPr>
            <w:r>
              <w:rPr>
                <w:rFonts w:hint="eastAsia" w:ascii="宋体" w:hAnsi="宋体" w:cs="宋体"/>
                <w:bCs/>
                <w:sz w:val="24"/>
                <w:szCs w:val="24"/>
                <w:lang w:val="zh-CN"/>
              </w:rPr>
              <w:t>评标委员会构成：</w:t>
            </w:r>
            <w:r>
              <w:rPr>
                <w:rFonts w:hint="eastAsia" w:ascii="宋体" w:hAnsi="宋体" w:cs="宋体"/>
                <w:bCs/>
                <w:sz w:val="24"/>
                <w:szCs w:val="24"/>
              </w:rPr>
              <w:t>采购人代表</w:t>
            </w:r>
            <w:r>
              <w:rPr>
                <w:rFonts w:hint="eastAsia" w:ascii="宋体" w:hAnsi="宋体" w:cs="宋体"/>
                <w:bCs/>
                <w:sz w:val="24"/>
                <w:szCs w:val="24"/>
                <w:u w:val="single"/>
              </w:rPr>
              <w:t>1</w:t>
            </w:r>
            <w:r>
              <w:rPr>
                <w:rFonts w:hint="eastAsia" w:ascii="宋体" w:hAnsi="宋体" w:cs="宋体"/>
                <w:bCs/>
                <w:sz w:val="24"/>
                <w:szCs w:val="24"/>
                <w:lang w:val="zh-CN"/>
              </w:rPr>
              <w:t>人、专家</w:t>
            </w:r>
            <w:r>
              <w:rPr>
                <w:rFonts w:hint="eastAsia" w:ascii="宋体" w:hAnsi="宋体" w:cs="宋体"/>
                <w:bCs/>
                <w:sz w:val="24"/>
                <w:szCs w:val="24"/>
                <w:u w:val="single"/>
              </w:rPr>
              <w:t>4</w:t>
            </w:r>
            <w:r>
              <w:rPr>
                <w:rFonts w:hint="eastAsia" w:ascii="宋体" w:hAnsi="宋体" w:cs="宋体"/>
                <w:bCs/>
                <w:sz w:val="24"/>
                <w:szCs w:val="24"/>
                <w:lang w:val="zh-CN"/>
              </w:rPr>
              <w:t>人，共</w:t>
            </w:r>
            <w:r>
              <w:rPr>
                <w:rFonts w:hint="eastAsia" w:ascii="宋体" w:hAnsi="宋体" w:cs="宋体"/>
                <w:bCs/>
                <w:sz w:val="24"/>
                <w:szCs w:val="24"/>
                <w:u w:val="single"/>
              </w:rPr>
              <w:t>5</w:t>
            </w:r>
            <w:r>
              <w:rPr>
                <w:rFonts w:hint="eastAsia" w:ascii="宋体" w:hAnsi="宋体" w:cs="宋体"/>
                <w:bCs/>
                <w:sz w:val="24"/>
                <w:szCs w:val="24"/>
                <w:lang w:val="zh-CN"/>
              </w:rPr>
              <w:t>人组成</w:t>
            </w:r>
          </w:p>
          <w:p w14:paraId="4D85B293">
            <w:pPr>
              <w:spacing w:line="360" w:lineRule="auto"/>
              <w:jc w:val="left"/>
              <w:rPr>
                <w:rFonts w:hint="eastAsia" w:ascii="宋体" w:hAnsi="宋体" w:cs="宋体"/>
                <w:bCs/>
                <w:color w:val="000000"/>
                <w:sz w:val="24"/>
                <w:szCs w:val="24"/>
                <w:lang w:val="zh-CN"/>
              </w:rPr>
            </w:pPr>
            <w:r>
              <w:rPr>
                <w:rFonts w:hint="eastAsia" w:ascii="宋体" w:hAnsi="宋体" w:cs="宋体"/>
                <w:bCs/>
                <w:sz w:val="24"/>
                <w:szCs w:val="24"/>
                <w:lang w:val="zh-CN"/>
              </w:rPr>
              <w:t>评标专家确定方式：经济及技术方面专家从吉林省政务大厅评标专家库中随机抽取。</w:t>
            </w:r>
          </w:p>
        </w:tc>
      </w:tr>
      <w:tr w14:paraId="1416AE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3" w:hRule="atLeast"/>
        </w:trPr>
        <w:tc>
          <w:tcPr>
            <w:tcW w:w="556" w:type="pct"/>
            <w:vAlign w:val="center"/>
          </w:tcPr>
          <w:p w14:paraId="073F5C08">
            <w:pPr>
              <w:autoSpaceDE w:val="0"/>
              <w:autoSpaceDN w:val="0"/>
              <w:adjustRightInd w:val="0"/>
              <w:spacing w:line="360" w:lineRule="auto"/>
              <w:jc w:val="center"/>
              <w:rPr>
                <w:rFonts w:hint="eastAsia" w:ascii="宋体" w:hAnsi="宋体" w:cs="宋体"/>
                <w:bCs/>
                <w:color w:val="000000"/>
                <w:sz w:val="24"/>
                <w:szCs w:val="24"/>
                <w:lang w:val="zh-CN"/>
              </w:rPr>
            </w:pPr>
            <w:r>
              <w:rPr>
                <w:rFonts w:hint="eastAsia" w:ascii="宋体" w:hAnsi="宋体" w:cs="宋体"/>
                <w:bCs/>
                <w:color w:val="000000"/>
                <w:sz w:val="24"/>
                <w:szCs w:val="24"/>
                <w:lang w:val="zh-CN"/>
              </w:rPr>
              <w:t>30</w:t>
            </w:r>
          </w:p>
        </w:tc>
        <w:tc>
          <w:tcPr>
            <w:tcW w:w="1513" w:type="pct"/>
            <w:shd w:val="clear" w:color="auto" w:fill="auto"/>
            <w:vAlign w:val="center"/>
          </w:tcPr>
          <w:p w14:paraId="24BA5635">
            <w:pPr>
              <w:autoSpaceDE w:val="0"/>
              <w:autoSpaceDN w:val="0"/>
              <w:adjustRightInd w:val="0"/>
              <w:spacing w:line="360" w:lineRule="auto"/>
              <w:ind w:firstLine="240" w:firstLineChars="100"/>
              <w:rPr>
                <w:rFonts w:hint="eastAsia" w:ascii="宋体" w:hAnsi="宋体" w:cs="宋体"/>
                <w:bCs/>
                <w:color w:val="000000"/>
                <w:sz w:val="24"/>
                <w:szCs w:val="24"/>
                <w:lang w:val="zh-CN"/>
              </w:rPr>
            </w:pPr>
            <w:r>
              <w:rPr>
                <w:rFonts w:hint="eastAsia" w:ascii="宋体" w:hAnsi="宋体" w:cs="宋体"/>
                <w:bCs/>
                <w:color w:val="000000"/>
                <w:sz w:val="24"/>
                <w:szCs w:val="24"/>
                <w:lang w:val="zh-CN"/>
              </w:rPr>
              <w:t>是否授权评标委员会确定中标人</w:t>
            </w:r>
          </w:p>
        </w:tc>
        <w:tc>
          <w:tcPr>
            <w:tcW w:w="2930" w:type="pct"/>
            <w:shd w:val="clear" w:color="auto" w:fill="auto"/>
            <w:vAlign w:val="center"/>
          </w:tcPr>
          <w:p w14:paraId="1B89E4AE">
            <w:pPr>
              <w:spacing w:line="360" w:lineRule="auto"/>
              <w:rPr>
                <w:rFonts w:hint="eastAsia" w:ascii="宋体" w:hAnsi="宋体" w:cs="宋体"/>
                <w:bCs/>
                <w:color w:val="000000"/>
                <w:kern w:val="15"/>
                <w:sz w:val="24"/>
                <w:szCs w:val="24"/>
                <w:lang w:val="zh-CN"/>
              </w:rPr>
            </w:pPr>
            <w:r>
              <w:rPr>
                <w:rFonts w:hint="eastAsia" w:ascii="宋体" w:hAnsi="宋体" w:cs="宋体"/>
                <w:bCs/>
                <w:color w:val="000000"/>
                <w:kern w:val="15"/>
                <w:sz w:val="24"/>
                <w:szCs w:val="24"/>
                <w:lang w:val="zh-CN"/>
              </w:rPr>
              <w:t>否，</w:t>
            </w:r>
            <w:r>
              <w:rPr>
                <w:rFonts w:hint="eastAsia" w:ascii="宋体" w:hAnsi="宋体" w:cs="宋体"/>
                <w:bCs/>
                <w:color w:val="000000"/>
                <w:kern w:val="15"/>
                <w:sz w:val="24"/>
                <w:szCs w:val="24"/>
              </w:rPr>
              <w:t>推荐的中标候选人数3名</w:t>
            </w:r>
          </w:p>
        </w:tc>
      </w:tr>
      <w:tr w14:paraId="0F00FB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556" w:type="pct"/>
            <w:vAlign w:val="center"/>
          </w:tcPr>
          <w:p w14:paraId="452761DB">
            <w:pPr>
              <w:autoSpaceDE w:val="0"/>
              <w:autoSpaceDN w:val="0"/>
              <w:adjustRightInd w:val="0"/>
              <w:spacing w:line="360" w:lineRule="auto"/>
              <w:jc w:val="center"/>
              <w:rPr>
                <w:rFonts w:hint="eastAsia" w:ascii="宋体" w:hAnsi="宋体" w:cs="宋体"/>
                <w:bCs/>
                <w:color w:val="000000"/>
                <w:sz w:val="24"/>
                <w:szCs w:val="24"/>
                <w:lang w:val="zh-CN"/>
              </w:rPr>
            </w:pPr>
            <w:r>
              <w:rPr>
                <w:rFonts w:hint="eastAsia" w:ascii="宋体" w:hAnsi="宋体" w:cs="宋体"/>
                <w:bCs/>
                <w:color w:val="000000"/>
                <w:sz w:val="24"/>
                <w:szCs w:val="24"/>
                <w:lang w:val="zh-CN"/>
              </w:rPr>
              <w:t>31</w:t>
            </w:r>
          </w:p>
        </w:tc>
        <w:tc>
          <w:tcPr>
            <w:tcW w:w="1513" w:type="pct"/>
            <w:shd w:val="clear" w:color="auto" w:fill="auto"/>
            <w:vAlign w:val="center"/>
          </w:tcPr>
          <w:p w14:paraId="12E1E687">
            <w:pPr>
              <w:spacing w:line="360" w:lineRule="auto"/>
              <w:jc w:val="center"/>
              <w:rPr>
                <w:rFonts w:hint="eastAsia" w:ascii="宋体" w:hAnsi="宋体" w:cs="宋体"/>
                <w:bCs/>
                <w:color w:val="000000"/>
                <w:kern w:val="15"/>
                <w:sz w:val="24"/>
                <w:szCs w:val="24"/>
                <w:lang w:val="zh-CN"/>
              </w:rPr>
            </w:pPr>
            <w:r>
              <w:rPr>
                <w:rFonts w:hint="eastAsia" w:ascii="宋体" w:hAnsi="宋体" w:cs="宋体"/>
                <w:bCs/>
                <w:color w:val="000000"/>
                <w:kern w:val="15"/>
                <w:sz w:val="24"/>
                <w:szCs w:val="24"/>
              </w:rPr>
              <w:t>采购代理服务费</w:t>
            </w:r>
          </w:p>
        </w:tc>
        <w:tc>
          <w:tcPr>
            <w:tcW w:w="2930" w:type="pct"/>
            <w:shd w:val="clear" w:color="auto" w:fill="auto"/>
          </w:tcPr>
          <w:p w14:paraId="7F5585F5">
            <w:pPr>
              <w:spacing w:line="360" w:lineRule="auto"/>
              <w:jc w:val="left"/>
              <w:rPr>
                <w:rFonts w:hint="eastAsia" w:ascii="宋体" w:hAnsi="宋体" w:cs="宋体"/>
                <w:bCs/>
                <w:color w:val="000000"/>
                <w:sz w:val="24"/>
                <w:szCs w:val="24"/>
                <w:lang w:val="zh-CN"/>
              </w:rPr>
            </w:pPr>
            <w:r>
              <w:rPr>
                <w:rFonts w:ascii="宋体" w:hAnsi="宋体" w:cs="宋体"/>
                <w:sz w:val="24"/>
                <w:szCs w:val="24"/>
              </w:rPr>
              <w:t>参考国家计委颁布的«招标代理服务收费管理暂行办法»（计价格 [2002]1980号）和国家发改委办公厅颁布的《国家发改委办公厅关于招标代理服务收费有关问题的通知》（发改办价格[2003]857号）的规定标准向</w:t>
            </w:r>
            <w:r>
              <w:rPr>
                <w:rFonts w:hint="eastAsia" w:ascii="宋体" w:hAnsi="宋体" w:cs="宋体"/>
                <w:sz w:val="24"/>
                <w:szCs w:val="24"/>
              </w:rPr>
              <w:t>中标</w:t>
            </w:r>
            <w:r>
              <w:rPr>
                <w:rFonts w:ascii="宋体" w:hAnsi="宋体" w:cs="宋体"/>
                <w:sz w:val="24"/>
                <w:szCs w:val="24"/>
              </w:rPr>
              <w:t>人收取</w:t>
            </w:r>
            <w:r>
              <w:rPr>
                <w:rFonts w:hint="eastAsia" w:ascii="宋体" w:hAnsi="宋体" w:cs="宋体"/>
                <w:sz w:val="24"/>
                <w:szCs w:val="24"/>
              </w:rPr>
              <w:t>采购代理</w:t>
            </w:r>
            <w:r>
              <w:rPr>
                <w:rFonts w:ascii="宋体" w:hAnsi="宋体" w:cs="宋体"/>
                <w:sz w:val="24"/>
                <w:szCs w:val="24"/>
              </w:rPr>
              <w:t>服务费</w:t>
            </w:r>
            <w:r>
              <w:rPr>
                <w:rFonts w:hint="eastAsia" w:ascii="宋体" w:hAnsi="宋体" w:cs="宋体"/>
                <w:sz w:val="24"/>
                <w:szCs w:val="24"/>
              </w:rPr>
              <w:t>，</w:t>
            </w:r>
            <w:r>
              <w:rPr>
                <w:rFonts w:hint="eastAsia" w:ascii="宋体" w:hAnsi="宋体" w:cs="宋体"/>
                <w:sz w:val="24"/>
                <w:szCs w:val="24"/>
                <w:lang w:val="zh-CN"/>
              </w:rPr>
              <w:t>在此基础之上打八折，</w:t>
            </w:r>
            <w:r>
              <w:rPr>
                <w:rFonts w:hint="eastAsia" w:ascii="宋体" w:hAnsi="宋体" w:cs="宋体"/>
                <w:sz w:val="24"/>
                <w:szCs w:val="24"/>
              </w:rPr>
              <w:t>由中标人支付</w:t>
            </w:r>
            <w:r>
              <w:rPr>
                <w:rFonts w:hint="eastAsia" w:ascii="宋体" w:hAnsi="宋体" w:cs="宋体"/>
                <w:bCs/>
                <w:color w:val="000000"/>
                <w:sz w:val="24"/>
                <w:szCs w:val="24"/>
                <w:lang w:val="zh-CN"/>
              </w:rPr>
              <w:t>。</w:t>
            </w:r>
          </w:p>
        </w:tc>
      </w:tr>
      <w:tr w14:paraId="10ACD6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7" w:hRule="atLeast"/>
        </w:trPr>
        <w:tc>
          <w:tcPr>
            <w:tcW w:w="556" w:type="pct"/>
            <w:vAlign w:val="center"/>
          </w:tcPr>
          <w:p w14:paraId="33C4A086">
            <w:pPr>
              <w:autoSpaceDE w:val="0"/>
              <w:autoSpaceDN w:val="0"/>
              <w:adjustRightInd w:val="0"/>
              <w:spacing w:line="360" w:lineRule="auto"/>
              <w:jc w:val="center"/>
              <w:rPr>
                <w:rFonts w:hint="eastAsia" w:ascii="宋体" w:hAnsi="宋体" w:cs="宋体"/>
                <w:bCs/>
                <w:color w:val="000000"/>
                <w:sz w:val="24"/>
                <w:szCs w:val="24"/>
                <w:lang w:val="zh-CN"/>
              </w:rPr>
            </w:pPr>
            <w:r>
              <w:rPr>
                <w:rFonts w:hint="eastAsia" w:ascii="宋体" w:hAnsi="宋体" w:cs="宋体"/>
                <w:bCs/>
                <w:color w:val="000000"/>
                <w:sz w:val="24"/>
                <w:szCs w:val="24"/>
                <w:lang w:val="zh-CN"/>
              </w:rPr>
              <w:t>32</w:t>
            </w:r>
          </w:p>
        </w:tc>
        <w:tc>
          <w:tcPr>
            <w:tcW w:w="1513" w:type="pct"/>
            <w:shd w:val="clear" w:color="auto" w:fill="auto"/>
            <w:vAlign w:val="center"/>
          </w:tcPr>
          <w:p w14:paraId="194F0BC0">
            <w:pPr>
              <w:spacing w:line="360" w:lineRule="auto"/>
              <w:jc w:val="center"/>
              <w:rPr>
                <w:rFonts w:hint="eastAsia" w:ascii="宋体" w:hAnsi="宋体" w:cs="宋体"/>
                <w:bCs/>
                <w:color w:val="000000"/>
                <w:sz w:val="24"/>
                <w:szCs w:val="24"/>
                <w:lang w:val="zh-CN"/>
              </w:rPr>
            </w:pPr>
            <w:r>
              <w:rPr>
                <w:rFonts w:hint="eastAsia" w:ascii="宋体" w:hAnsi="宋体" w:cs="宋体"/>
                <w:bCs/>
                <w:color w:val="000000"/>
                <w:kern w:val="15"/>
                <w:sz w:val="24"/>
                <w:szCs w:val="24"/>
              </w:rPr>
              <w:t>最高限价</w:t>
            </w:r>
          </w:p>
        </w:tc>
        <w:tc>
          <w:tcPr>
            <w:tcW w:w="2930" w:type="pct"/>
            <w:shd w:val="clear" w:color="auto" w:fill="auto"/>
            <w:vAlign w:val="center"/>
          </w:tcPr>
          <w:p w14:paraId="08827AC7">
            <w:pPr>
              <w:spacing w:line="360" w:lineRule="auto"/>
              <w:rPr>
                <w:rFonts w:hint="eastAsia" w:ascii="宋体" w:hAnsi="宋体" w:cs="宋体"/>
                <w:bCs/>
                <w:color w:val="000000"/>
                <w:sz w:val="24"/>
                <w:szCs w:val="24"/>
                <w:lang w:val="zh-CN"/>
              </w:rPr>
            </w:pPr>
            <w:r>
              <w:rPr>
                <w:rFonts w:hint="eastAsia" w:ascii="宋体" w:hAnsi="宋体" w:cs="宋体"/>
                <w:bCs/>
                <w:color w:val="000000"/>
                <w:sz w:val="24"/>
                <w:szCs w:val="24"/>
              </w:rPr>
              <w:t>人民币384万元（投标报价超过</w:t>
            </w:r>
            <w:r>
              <w:rPr>
                <w:rFonts w:hint="eastAsia" w:ascii="宋体" w:hAnsi="宋体" w:cs="宋体"/>
                <w:bCs/>
                <w:color w:val="000000"/>
                <w:kern w:val="15"/>
                <w:sz w:val="24"/>
                <w:szCs w:val="24"/>
              </w:rPr>
              <w:t>最高限价</w:t>
            </w:r>
            <w:r>
              <w:rPr>
                <w:rFonts w:hint="eastAsia" w:ascii="宋体" w:hAnsi="宋体" w:cs="宋体"/>
                <w:bCs/>
                <w:color w:val="000000"/>
                <w:sz w:val="24"/>
                <w:szCs w:val="24"/>
              </w:rPr>
              <w:t>作废标处理）</w:t>
            </w:r>
          </w:p>
        </w:tc>
      </w:tr>
      <w:tr w14:paraId="1D70BD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0" w:hRule="atLeast"/>
        </w:trPr>
        <w:tc>
          <w:tcPr>
            <w:tcW w:w="556" w:type="pct"/>
            <w:vAlign w:val="center"/>
          </w:tcPr>
          <w:p w14:paraId="51A7D4B2">
            <w:pPr>
              <w:autoSpaceDE w:val="0"/>
              <w:autoSpaceDN w:val="0"/>
              <w:adjustRightInd w:val="0"/>
              <w:spacing w:line="360" w:lineRule="auto"/>
              <w:jc w:val="center"/>
              <w:rPr>
                <w:rFonts w:hint="eastAsia" w:ascii="宋体" w:hAnsi="宋体" w:cs="宋体"/>
                <w:bCs/>
                <w:color w:val="000000"/>
                <w:sz w:val="24"/>
                <w:szCs w:val="24"/>
                <w:lang w:val="zh-CN"/>
              </w:rPr>
            </w:pPr>
            <w:r>
              <w:rPr>
                <w:rFonts w:hint="eastAsia" w:ascii="宋体" w:hAnsi="宋体" w:cs="宋体"/>
                <w:bCs/>
                <w:color w:val="000000"/>
                <w:sz w:val="24"/>
                <w:szCs w:val="24"/>
                <w:lang w:val="zh-CN"/>
              </w:rPr>
              <w:t>33</w:t>
            </w:r>
          </w:p>
        </w:tc>
        <w:tc>
          <w:tcPr>
            <w:tcW w:w="1513" w:type="pct"/>
            <w:shd w:val="clear" w:color="auto" w:fill="auto"/>
            <w:vAlign w:val="center"/>
          </w:tcPr>
          <w:p w14:paraId="2E978BA1">
            <w:pPr>
              <w:jc w:val="center"/>
              <w:rPr>
                <w:lang w:val="zh-CN"/>
              </w:rPr>
            </w:pPr>
            <w:r>
              <w:rPr>
                <w:rFonts w:hint="eastAsia"/>
                <w:sz w:val="24"/>
                <w:szCs w:val="24"/>
              </w:rPr>
              <w:t>核心产品</w:t>
            </w:r>
          </w:p>
        </w:tc>
        <w:tc>
          <w:tcPr>
            <w:tcW w:w="2930" w:type="pct"/>
            <w:shd w:val="clear" w:color="auto" w:fill="auto"/>
            <w:vAlign w:val="center"/>
          </w:tcPr>
          <w:p w14:paraId="06D46699">
            <w:pPr>
              <w:rPr>
                <w:highlight w:val="cyan"/>
                <w:lang w:val="zh-CN"/>
              </w:rPr>
            </w:pPr>
            <w:r>
              <w:rPr>
                <w:rFonts w:hint="eastAsia" w:ascii="宋体" w:hAnsi="宋体" w:cs="宋体"/>
                <w:sz w:val="24"/>
                <w:szCs w:val="24"/>
                <w:lang w:val="zh-CN"/>
              </w:rPr>
              <w:t>纯电动全车实训系统</w:t>
            </w:r>
          </w:p>
        </w:tc>
      </w:tr>
      <w:tr w14:paraId="5064A1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2" w:hRule="atLeast"/>
        </w:trPr>
        <w:tc>
          <w:tcPr>
            <w:tcW w:w="556" w:type="pct"/>
            <w:vAlign w:val="center"/>
          </w:tcPr>
          <w:p w14:paraId="09236B2A">
            <w:pPr>
              <w:autoSpaceDE w:val="0"/>
              <w:autoSpaceDN w:val="0"/>
              <w:adjustRightInd w:val="0"/>
              <w:spacing w:line="360" w:lineRule="auto"/>
              <w:jc w:val="center"/>
              <w:rPr>
                <w:rFonts w:hint="eastAsia" w:ascii="宋体" w:hAnsi="宋体" w:cs="宋体"/>
                <w:bCs/>
                <w:color w:val="000000"/>
                <w:sz w:val="24"/>
                <w:szCs w:val="24"/>
                <w:lang w:val="zh-CN"/>
              </w:rPr>
            </w:pPr>
            <w:r>
              <w:rPr>
                <w:rFonts w:hint="eastAsia" w:ascii="宋体" w:hAnsi="宋体" w:cs="宋体"/>
                <w:bCs/>
                <w:color w:val="000000"/>
                <w:sz w:val="24"/>
                <w:szCs w:val="24"/>
                <w:lang w:val="zh-CN"/>
              </w:rPr>
              <w:t>34</w:t>
            </w:r>
          </w:p>
        </w:tc>
        <w:tc>
          <w:tcPr>
            <w:tcW w:w="1513" w:type="pct"/>
            <w:shd w:val="clear" w:color="auto" w:fill="auto"/>
            <w:vAlign w:val="center"/>
          </w:tcPr>
          <w:p w14:paraId="2ED2E78D">
            <w:pPr>
              <w:jc w:val="center"/>
              <w:rPr>
                <w:sz w:val="24"/>
                <w:szCs w:val="24"/>
                <w:lang w:val="zh-CN"/>
              </w:rPr>
            </w:pPr>
            <w:r>
              <w:rPr>
                <w:rFonts w:hint="eastAsia"/>
                <w:sz w:val="24"/>
                <w:szCs w:val="24"/>
              </w:rPr>
              <w:t>标的所属行业</w:t>
            </w:r>
          </w:p>
        </w:tc>
        <w:tc>
          <w:tcPr>
            <w:tcW w:w="2930" w:type="pct"/>
            <w:shd w:val="clear" w:color="auto" w:fill="auto"/>
            <w:vAlign w:val="center"/>
          </w:tcPr>
          <w:p w14:paraId="6C09D606">
            <w:pPr>
              <w:rPr>
                <w:rFonts w:hint="eastAsia" w:eastAsia="宋体"/>
                <w:highlight w:val="cyan"/>
                <w:lang w:val="zh-CN" w:eastAsia="zh-CN"/>
              </w:rPr>
            </w:pPr>
            <w:r>
              <w:rPr>
                <w:rFonts w:hint="eastAsia" w:ascii="宋体" w:hAnsi="宋体" w:cs="宋体"/>
                <w:sz w:val="24"/>
                <w:szCs w:val="24"/>
                <w:lang w:val="en-US" w:eastAsia="zh-CN"/>
              </w:rPr>
              <w:t>工业</w:t>
            </w:r>
          </w:p>
        </w:tc>
      </w:tr>
      <w:tr w14:paraId="4B802E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5000" w:type="pct"/>
            <w:gridSpan w:val="3"/>
            <w:vAlign w:val="center"/>
          </w:tcPr>
          <w:p w14:paraId="3F877AD6">
            <w:pPr>
              <w:spacing w:line="360" w:lineRule="auto"/>
              <w:jc w:val="left"/>
              <w:rPr>
                <w:rFonts w:hint="eastAsia" w:ascii="宋体" w:hAnsi="宋体" w:cs="宋体"/>
                <w:bCs/>
                <w:color w:val="000000"/>
                <w:sz w:val="24"/>
                <w:szCs w:val="24"/>
                <w:lang w:val="zh-CN"/>
              </w:rPr>
            </w:pPr>
            <w:r>
              <w:rPr>
                <w:rFonts w:hint="eastAsia" w:ascii="宋体" w:hAnsi="宋体" w:cs="宋体"/>
                <w:bCs/>
                <w:color w:val="000000"/>
                <w:sz w:val="24"/>
                <w:szCs w:val="24"/>
                <w:lang w:val="zh-CN"/>
              </w:rPr>
              <w:t>招标公告与招标文件有不一致处，以招标文件为准。</w:t>
            </w:r>
          </w:p>
        </w:tc>
      </w:tr>
    </w:tbl>
    <w:p w14:paraId="0F8588CC">
      <w:pPr>
        <w:autoSpaceDE w:val="0"/>
        <w:autoSpaceDN w:val="0"/>
        <w:adjustRightInd w:val="0"/>
        <w:spacing w:line="360" w:lineRule="auto"/>
        <w:ind w:firstLine="482"/>
        <w:rPr>
          <w:rFonts w:hint="eastAsia" w:ascii="宋体" w:hAnsi="宋体" w:cs="宋体"/>
          <w:color w:val="000000"/>
          <w:sz w:val="24"/>
          <w:szCs w:val="24"/>
          <w:lang w:val="zh-CN"/>
        </w:rPr>
      </w:pPr>
      <w:r>
        <w:rPr>
          <w:rFonts w:hint="eastAsia" w:ascii="宋体" w:hAnsi="宋体" w:cs="宋体"/>
          <w:b/>
          <w:color w:val="000000"/>
          <w:sz w:val="24"/>
          <w:szCs w:val="24"/>
          <w:lang w:val="zh-CN"/>
        </w:rPr>
        <w:t>1．适用法律：</w:t>
      </w:r>
      <w:r>
        <w:rPr>
          <w:rFonts w:hint="eastAsia" w:ascii="宋体" w:hAnsi="宋体" w:cs="宋体"/>
          <w:color w:val="000000"/>
          <w:sz w:val="24"/>
          <w:szCs w:val="24"/>
          <w:lang w:val="zh-CN"/>
        </w:rPr>
        <w:t>本次招标适用法律法规为《中华人民共和国政府采购法》、《政府采购货物和服务招标投标管理办法》及政府采购其它相关法规。</w:t>
      </w:r>
    </w:p>
    <w:p w14:paraId="10DDC3D8">
      <w:pPr>
        <w:autoSpaceDE w:val="0"/>
        <w:autoSpaceDN w:val="0"/>
        <w:adjustRightInd w:val="0"/>
        <w:spacing w:line="360" w:lineRule="auto"/>
        <w:ind w:firstLine="482"/>
        <w:rPr>
          <w:rFonts w:hint="eastAsia" w:ascii="宋体" w:hAnsi="宋体" w:cs="宋体"/>
          <w:b/>
          <w:color w:val="000000"/>
          <w:sz w:val="24"/>
          <w:szCs w:val="24"/>
          <w:lang w:val="zh-CN"/>
        </w:rPr>
      </w:pPr>
      <w:r>
        <w:rPr>
          <w:rFonts w:hint="eastAsia" w:ascii="宋体" w:hAnsi="宋体" w:cs="宋体"/>
          <w:b/>
          <w:color w:val="000000"/>
          <w:sz w:val="24"/>
          <w:szCs w:val="24"/>
          <w:lang w:val="zh-CN"/>
        </w:rPr>
        <w:t>2．定义：</w:t>
      </w:r>
    </w:p>
    <w:p w14:paraId="26AEDEC2">
      <w:pPr>
        <w:autoSpaceDE w:val="0"/>
        <w:autoSpaceDN w:val="0"/>
        <w:adjustRightInd w:val="0"/>
        <w:spacing w:line="360" w:lineRule="auto"/>
        <w:ind w:firstLine="480" w:firstLineChars="200"/>
        <w:rPr>
          <w:rFonts w:hint="eastAsia" w:ascii="宋体" w:hAnsi="宋体" w:cs="宋体"/>
          <w:color w:val="000000"/>
          <w:sz w:val="24"/>
          <w:szCs w:val="24"/>
          <w:lang w:val="zh-CN"/>
        </w:rPr>
      </w:pPr>
      <w:r>
        <w:rPr>
          <w:rFonts w:hint="eastAsia" w:ascii="宋体" w:hAnsi="宋体" w:cs="宋体"/>
          <w:color w:val="000000"/>
          <w:sz w:val="24"/>
          <w:szCs w:val="24"/>
          <w:lang w:val="zh-CN"/>
        </w:rPr>
        <w:t>2.1</w:t>
      </w:r>
      <w:r>
        <w:rPr>
          <w:rFonts w:hint="eastAsia" w:ascii="宋体" w:hAnsi="宋体" w:cs="宋体"/>
          <w:color w:val="000000"/>
          <w:sz w:val="24"/>
          <w:szCs w:val="24"/>
        </w:rPr>
        <w:t>“</w:t>
      </w:r>
      <w:r>
        <w:rPr>
          <w:rFonts w:hint="eastAsia" w:ascii="宋体" w:hAnsi="宋体" w:cs="宋体"/>
          <w:color w:val="000000"/>
          <w:sz w:val="24"/>
          <w:szCs w:val="24"/>
          <w:lang w:val="zh-CN"/>
        </w:rPr>
        <w:t>采购代理机构</w:t>
      </w:r>
      <w:r>
        <w:rPr>
          <w:rFonts w:hint="eastAsia" w:ascii="宋体" w:hAnsi="宋体" w:cs="宋体"/>
          <w:color w:val="000000"/>
          <w:sz w:val="24"/>
          <w:szCs w:val="24"/>
        </w:rPr>
        <w:t>”</w:t>
      </w:r>
      <w:r>
        <w:rPr>
          <w:rFonts w:hint="eastAsia" w:ascii="宋体" w:hAnsi="宋体" w:cs="宋体"/>
          <w:color w:val="000000"/>
          <w:sz w:val="24"/>
          <w:szCs w:val="24"/>
          <w:lang w:val="zh-CN"/>
        </w:rPr>
        <w:t>指</w:t>
      </w:r>
      <w:r>
        <w:rPr>
          <w:rFonts w:hint="eastAsia" w:ascii="宋体" w:hAnsi="宋体" w:cs="宋体"/>
          <w:color w:val="000000"/>
          <w:sz w:val="24"/>
          <w:szCs w:val="24"/>
          <w:u w:val="single"/>
        </w:rPr>
        <w:t>鼎正众创建设集团有限公司</w:t>
      </w:r>
      <w:r>
        <w:rPr>
          <w:rFonts w:hint="eastAsia" w:ascii="宋体" w:hAnsi="宋体" w:cs="宋体"/>
          <w:color w:val="000000"/>
          <w:sz w:val="24"/>
          <w:szCs w:val="24"/>
          <w:lang w:val="zh-CN"/>
        </w:rPr>
        <w:t>，负责采购活动的组织工作。</w:t>
      </w:r>
    </w:p>
    <w:p w14:paraId="1DA46F2D">
      <w:pPr>
        <w:spacing w:line="360" w:lineRule="auto"/>
        <w:ind w:firstLine="480" w:firstLineChars="200"/>
        <w:rPr>
          <w:rFonts w:hint="eastAsia" w:ascii="宋体" w:hAnsi="宋体" w:cs="宋体"/>
          <w:color w:val="000000"/>
          <w:sz w:val="24"/>
          <w:szCs w:val="24"/>
        </w:rPr>
      </w:pPr>
      <w:r>
        <w:rPr>
          <w:rFonts w:hint="eastAsia" w:ascii="宋体" w:hAnsi="宋体" w:cs="宋体"/>
          <w:color w:val="000000"/>
          <w:sz w:val="24"/>
          <w:szCs w:val="24"/>
          <w:lang w:val="zh-CN"/>
        </w:rPr>
        <w:t>2.2</w:t>
      </w:r>
      <w:r>
        <w:rPr>
          <w:rFonts w:hint="eastAsia" w:ascii="宋体" w:hAnsi="宋体" w:cs="宋体"/>
          <w:color w:val="000000"/>
          <w:sz w:val="24"/>
          <w:szCs w:val="24"/>
        </w:rPr>
        <w:t>“</w:t>
      </w:r>
      <w:r>
        <w:rPr>
          <w:rFonts w:hint="eastAsia" w:ascii="宋体" w:hAnsi="宋体" w:cs="宋体"/>
          <w:color w:val="000000"/>
          <w:sz w:val="24"/>
          <w:szCs w:val="24"/>
          <w:lang w:val="zh-CN"/>
        </w:rPr>
        <w:t>采购人</w:t>
      </w:r>
      <w:r>
        <w:rPr>
          <w:rFonts w:hint="eastAsia" w:ascii="宋体" w:hAnsi="宋体" w:cs="宋体"/>
          <w:color w:val="000000"/>
          <w:sz w:val="24"/>
          <w:szCs w:val="24"/>
        </w:rPr>
        <w:t>”</w:t>
      </w:r>
      <w:r>
        <w:rPr>
          <w:rFonts w:hint="eastAsia" w:ascii="宋体" w:hAnsi="宋体" w:cs="宋体"/>
          <w:color w:val="000000"/>
          <w:sz w:val="24"/>
          <w:szCs w:val="24"/>
          <w:lang w:val="zh-CN"/>
        </w:rPr>
        <w:t>指</w:t>
      </w:r>
      <w:r>
        <w:rPr>
          <w:rFonts w:hint="eastAsia" w:ascii="宋体" w:hAnsi="宋体" w:cs="宋体"/>
          <w:color w:val="000000"/>
          <w:sz w:val="24"/>
          <w:szCs w:val="24"/>
          <w:u w:val="single"/>
          <w:lang w:val="zh-CN"/>
        </w:rPr>
        <w:t>吉林工程职业学院</w:t>
      </w:r>
      <w:r>
        <w:rPr>
          <w:rFonts w:hint="eastAsia" w:ascii="宋体" w:hAnsi="宋体" w:cs="宋体"/>
          <w:color w:val="000000"/>
          <w:sz w:val="24"/>
          <w:szCs w:val="24"/>
          <w:lang w:val="zh-CN"/>
        </w:rPr>
        <w:t>，负责采购项目的整体规划、采购需求设计和可行性论证，作为合同的需方，承担质疑答复，合同履行、验收、评价等义务。</w:t>
      </w:r>
    </w:p>
    <w:p w14:paraId="4849DBC0">
      <w:pPr>
        <w:tabs>
          <w:tab w:val="left" w:pos="709"/>
        </w:tabs>
        <w:autoSpaceDE w:val="0"/>
        <w:autoSpaceDN w:val="0"/>
        <w:adjustRightInd w:val="0"/>
        <w:spacing w:line="360" w:lineRule="auto"/>
        <w:ind w:firstLine="470"/>
        <w:rPr>
          <w:rFonts w:hint="eastAsia" w:ascii="宋体" w:hAnsi="宋体" w:cs="宋体"/>
          <w:color w:val="000000"/>
          <w:kern w:val="0"/>
          <w:sz w:val="24"/>
          <w:szCs w:val="24"/>
          <w:lang w:val="zh-CN"/>
        </w:rPr>
      </w:pPr>
      <w:r>
        <w:rPr>
          <w:rFonts w:hint="eastAsia" w:ascii="宋体" w:hAnsi="宋体" w:cs="宋体"/>
          <w:color w:val="000000"/>
          <w:kern w:val="0"/>
          <w:sz w:val="24"/>
          <w:szCs w:val="24"/>
          <w:lang w:val="zh-CN"/>
        </w:rPr>
        <w:t>2.3</w:t>
      </w:r>
      <w:r>
        <w:rPr>
          <w:rFonts w:hint="eastAsia" w:ascii="宋体" w:hAnsi="宋体" w:cs="宋体"/>
          <w:color w:val="000000"/>
          <w:kern w:val="0"/>
          <w:sz w:val="24"/>
          <w:szCs w:val="24"/>
        </w:rPr>
        <w:t>“</w:t>
      </w:r>
      <w:r>
        <w:rPr>
          <w:rFonts w:hint="eastAsia" w:ascii="宋体" w:hAnsi="宋体" w:cs="宋体"/>
          <w:color w:val="000000"/>
          <w:kern w:val="0"/>
          <w:sz w:val="24"/>
          <w:szCs w:val="24"/>
          <w:lang w:val="zh-CN"/>
        </w:rPr>
        <w:t>招标内容</w:t>
      </w:r>
      <w:r>
        <w:rPr>
          <w:rFonts w:hint="eastAsia" w:ascii="宋体" w:hAnsi="宋体" w:cs="宋体"/>
          <w:color w:val="000000"/>
          <w:kern w:val="0"/>
          <w:sz w:val="24"/>
          <w:szCs w:val="24"/>
        </w:rPr>
        <w:t>”</w:t>
      </w:r>
      <w:r>
        <w:rPr>
          <w:rFonts w:hint="eastAsia" w:ascii="宋体" w:hAnsi="宋体" w:cs="宋体"/>
          <w:color w:val="000000"/>
          <w:kern w:val="0"/>
          <w:sz w:val="24"/>
          <w:szCs w:val="24"/>
          <w:lang w:val="zh-CN"/>
        </w:rPr>
        <w:t>详见第</w:t>
      </w:r>
      <w:r>
        <w:rPr>
          <w:rFonts w:hint="eastAsia" w:ascii="宋体" w:hAnsi="宋体" w:cs="宋体"/>
          <w:color w:val="000000"/>
          <w:kern w:val="0"/>
          <w:sz w:val="24"/>
          <w:szCs w:val="24"/>
        </w:rPr>
        <w:t>五</w:t>
      </w:r>
      <w:r>
        <w:rPr>
          <w:rFonts w:hint="eastAsia" w:ascii="宋体" w:hAnsi="宋体" w:cs="宋体"/>
          <w:color w:val="000000"/>
          <w:kern w:val="0"/>
          <w:sz w:val="24"/>
          <w:szCs w:val="24"/>
          <w:lang w:val="zh-CN"/>
        </w:rPr>
        <w:t>章《</w:t>
      </w:r>
      <w:r>
        <w:rPr>
          <w:rFonts w:hint="eastAsia" w:ascii="宋体" w:hAnsi="宋体" w:cs="宋体"/>
          <w:color w:val="000000"/>
          <w:sz w:val="24"/>
          <w:szCs w:val="24"/>
        </w:rPr>
        <w:t>采购需求</w:t>
      </w:r>
      <w:r>
        <w:rPr>
          <w:rFonts w:hint="eastAsia" w:ascii="宋体" w:hAnsi="宋体" w:cs="宋体"/>
          <w:color w:val="000000"/>
          <w:kern w:val="0"/>
          <w:sz w:val="24"/>
          <w:szCs w:val="24"/>
          <w:lang w:val="zh-CN"/>
        </w:rPr>
        <w:t>》。</w:t>
      </w:r>
    </w:p>
    <w:p w14:paraId="54803CC0">
      <w:pPr>
        <w:tabs>
          <w:tab w:val="left" w:pos="709"/>
        </w:tabs>
        <w:autoSpaceDE w:val="0"/>
        <w:autoSpaceDN w:val="0"/>
        <w:adjustRightInd w:val="0"/>
        <w:spacing w:line="360" w:lineRule="auto"/>
        <w:ind w:firstLine="470"/>
        <w:rPr>
          <w:rFonts w:hint="eastAsia" w:ascii="宋体" w:hAnsi="宋体" w:cs="宋体"/>
          <w:color w:val="000000"/>
          <w:kern w:val="0"/>
          <w:sz w:val="24"/>
          <w:szCs w:val="24"/>
          <w:lang w:val="zh-CN"/>
        </w:rPr>
      </w:pPr>
      <w:r>
        <w:rPr>
          <w:rFonts w:hint="eastAsia" w:ascii="宋体" w:hAnsi="宋体" w:cs="宋体"/>
          <w:color w:val="000000"/>
          <w:kern w:val="0"/>
          <w:sz w:val="24"/>
          <w:szCs w:val="24"/>
          <w:lang w:val="zh-CN"/>
        </w:rPr>
        <w:t>2.4</w:t>
      </w:r>
      <w:r>
        <w:rPr>
          <w:rFonts w:hint="eastAsia" w:ascii="宋体" w:hAnsi="宋体" w:cs="宋体"/>
          <w:color w:val="000000"/>
          <w:kern w:val="0"/>
          <w:sz w:val="24"/>
          <w:szCs w:val="24"/>
        </w:rPr>
        <w:t>“</w:t>
      </w:r>
      <w:r>
        <w:rPr>
          <w:rFonts w:hint="eastAsia" w:ascii="宋体" w:hAnsi="宋体" w:cs="宋体"/>
          <w:color w:val="000000"/>
          <w:kern w:val="0"/>
          <w:sz w:val="24"/>
          <w:szCs w:val="24"/>
          <w:lang w:val="zh-CN"/>
        </w:rPr>
        <w:t>潜在投标人</w:t>
      </w:r>
      <w:r>
        <w:rPr>
          <w:rFonts w:hint="eastAsia" w:ascii="宋体" w:hAnsi="宋体" w:cs="宋体"/>
          <w:color w:val="000000"/>
          <w:kern w:val="0"/>
          <w:sz w:val="24"/>
          <w:szCs w:val="24"/>
        </w:rPr>
        <w:t>”</w:t>
      </w:r>
      <w:r>
        <w:rPr>
          <w:rFonts w:hint="eastAsia" w:ascii="宋体" w:hAnsi="宋体" w:cs="宋体"/>
          <w:color w:val="000000"/>
          <w:kern w:val="0"/>
          <w:sz w:val="24"/>
          <w:szCs w:val="24"/>
          <w:lang w:val="zh-CN"/>
        </w:rPr>
        <w:t>指确认参加投标的供应商。</w:t>
      </w:r>
    </w:p>
    <w:p w14:paraId="56A77015">
      <w:pPr>
        <w:tabs>
          <w:tab w:val="left" w:pos="709"/>
        </w:tabs>
        <w:autoSpaceDE w:val="0"/>
        <w:autoSpaceDN w:val="0"/>
        <w:adjustRightInd w:val="0"/>
        <w:spacing w:line="360" w:lineRule="auto"/>
        <w:ind w:firstLine="470"/>
        <w:rPr>
          <w:rFonts w:hint="eastAsia" w:ascii="宋体" w:hAnsi="宋体" w:cs="宋体"/>
          <w:color w:val="000000"/>
          <w:kern w:val="0"/>
          <w:sz w:val="24"/>
          <w:szCs w:val="24"/>
          <w:lang w:val="zh-CN"/>
        </w:rPr>
      </w:pPr>
      <w:r>
        <w:rPr>
          <w:rFonts w:hint="eastAsia" w:ascii="宋体" w:hAnsi="宋体" w:cs="宋体"/>
          <w:color w:val="000000"/>
          <w:kern w:val="0"/>
          <w:sz w:val="24"/>
          <w:szCs w:val="24"/>
          <w:lang w:val="zh-CN"/>
        </w:rPr>
        <w:t>2.5</w:t>
      </w:r>
      <w:r>
        <w:rPr>
          <w:rFonts w:hint="eastAsia" w:ascii="宋体" w:hAnsi="宋体" w:cs="宋体"/>
          <w:color w:val="000000"/>
          <w:kern w:val="0"/>
          <w:sz w:val="24"/>
          <w:szCs w:val="24"/>
        </w:rPr>
        <w:t>“</w:t>
      </w:r>
      <w:r>
        <w:rPr>
          <w:rFonts w:hint="eastAsia" w:ascii="宋体" w:hAnsi="宋体" w:cs="宋体"/>
          <w:color w:val="000000"/>
          <w:kern w:val="0"/>
          <w:sz w:val="24"/>
          <w:szCs w:val="24"/>
          <w:lang w:val="zh-CN"/>
        </w:rPr>
        <w:t>投标人</w:t>
      </w:r>
      <w:r>
        <w:rPr>
          <w:rFonts w:hint="eastAsia" w:ascii="宋体" w:hAnsi="宋体" w:cs="宋体"/>
          <w:color w:val="000000"/>
          <w:kern w:val="0"/>
          <w:sz w:val="24"/>
          <w:szCs w:val="24"/>
        </w:rPr>
        <w:t>”</w:t>
      </w:r>
      <w:r>
        <w:rPr>
          <w:rFonts w:hint="eastAsia" w:ascii="宋体" w:hAnsi="宋体" w:cs="宋体"/>
          <w:color w:val="000000"/>
          <w:kern w:val="0"/>
          <w:sz w:val="24"/>
          <w:szCs w:val="24"/>
          <w:lang w:val="zh-CN"/>
        </w:rPr>
        <w:t>指响应本招标文件参加投标的供应商。</w:t>
      </w:r>
    </w:p>
    <w:p w14:paraId="7083C9C4">
      <w:pPr>
        <w:autoSpaceDE w:val="0"/>
        <w:autoSpaceDN w:val="0"/>
        <w:adjustRightInd w:val="0"/>
        <w:spacing w:line="360" w:lineRule="auto"/>
        <w:ind w:firstLine="482"/>
        <w:rPr>
          <w:rFonts w:hint="eastAsia" w:ascii="宋体" w:hAnsi="宋体" w:cs="宋体"/>
          <w:b/>
          <w:color w:val="000000"/>
          <w:sz w:val="24"/>
          <w:szCs w:val="24"/>
          <w:lang w:val="zh-CN"/>
        </w:rPr>
      </w:pPr>
      <w:r>
        <w:rPr>
          <w:rFonts w:hint="eastAsia" w:ascii="宋体" w:hAnsi="宋体" w:cs="宋体"/>
          <w:b/>
          <w:color w:val="000000"/>
          <w:sz w:val="24"/>
          <w:szCs w:val="24"/>
          <w:lang w:val="zh-CN"/>
        </w:rPr>
        <w:t>3．合格申请人的资格要求：</w:t>
      </w:r>
    </w:p>
    <w:p w14:paraId="0AE052E0">
      <w:pPr>
        <w:autoSpaceDE w:val="0"/>
        <w:autoSpaceDN w:val="0"/>
        <w:adjustRightInd w:val="0"/>
        <w:spacing w:line="360" w:lineRule="auto"/>
        <w:ind w:firstLine="482"/>
        <w:rPr>
          <w:rFonts w:hint="eastAsia" w:ascii="宋体" w:hAnsi="宋体" w:cs="宋体"/>
          <w:color w:val="000000"/>
          <w:kern w:val="0"/>
          <w:sz w:val="24"/>
          <w:szCs w:val="24"/>
        </w:rPr>
      </w:pPr>
      <w:r>
        <w:rPr>
          <w:rFonts w:hint="eastAsia" w:ascii="宋体" w:hAnsi="宋体" w:cs="宋体"/>
          <w:color w:val="000000"/>
          <w:kern w:val="0"/>
          <w:sz w:val="24"/>
          <w:szCs w:val="24"/>
        </w:rPr>
        <w:t>3.</w:t>
      </w:r>
      <w:r>
        <w:rPr>
          <w:rFonts w:hint="eastAsia" w:ascii="宋体" w:hAnsi="宋体" w:cs="宋体"/>
          <w:color w:val="000000"/>
          <w:kern w:val="0"/>
          <w:sz w:val="24"/>
          <w:szCs w:val="24"/>
          <w:lang w:val="zh-CN"/>
        </w:rPr>
        <w:t>1、合格申请人</w:t>
      </w:r>
      <w:r>
        <w:rPr>
          <w:rFonts w:hint="eastAsia" w:ascii="宋体" w:hAnsi="宋体" w:cs="宋体"/>
          <w:color w:val="000000"/>
          <w:kern w:val="0"/>
          <w:sz w:val="24"/>
          <w:szCs w:val="24"/>
        </w:rPr>
        <w:t>必须符合投标须知前附表下的各项要求；</w:t>
      </w:r>
    </w:p>
    <w:p w14:paraId="5AD819CA">
      <w:pPr>
        <w:autoSpaceDE w:val="0"/>
        <w:autoSpaceDN w:val="0"/>
        <w:adjustRightInd w:val="0"/>
        <w:spacing w:line="360" w:lineRule="auto"/>
        <w:ind w:firstLine="482"/>
        <w:rPr>
          <w:rFonts w:hint="eastAsia" w:ascii="宋体" w:hAnsi="宋体" w:cs="宋体"/>
          <w:color w:val="000000"/>
          <w:sz w:val="24"/>
          <w:szCs w:val="24"/>
          <w:lang w:val="zh-CN"/>
        </w:rPr>
      </w:pPr>
      <w:r>
        <w:rPr>
          <w:rFonts w:hint="eastAsia" w:ascii="宋体" w:hAnsi="宋体" w:cs="宋体"/>
          <w:color w:val="000000"/>
          <w:sz w:val="24"/>
          <w:szCs w:val="24"/>
        </w:rPr>
        <w:t>3.2</w:t>
      </w:r>
      <w:r>
        <w:rPr>
          <w:rFonts w:hint="eastAsia" w:ascii="宋体" w:hAnsi="宋体" w:cs="宋体"/>
          <w:color w:val="000000"/>
          <w:kern w:val="0"/>
          <w:sz w:val="24"/>
          <w:szCs w:val="24"/>
          <w:lang w:val="zh-CN"/>
        </w:rPr>
        <w:t>、</w:t>
      </w:r>
      <w:r>
        <w:rPr>
          <w:rFonts w:hint="eastAsia" w:ascii="宋体" w:hAnsi="宋体" w:cs="宋体"/>
          <w:color w:val="000000"/>
          <w:sz w:val="24"/>
          <w:szCs w:val="24"/>
          <w:lang w:val="zh-CN"/>
        </w:rPr>
        <w:t>以上各款关于合格投标人资格条件的要求均须提供中文文本，否则无效，投标人应按第</w:t>
      </w:r>
      <w:r>
        <w:rPr>
          <w:rFonts w:hint="eastAsia" w:ascii="宋体" w:hAnsi="宋体" w:cs="宋体"/>
          <w:color w:val="000000"/>
          <w:sz w:val="24"/>
          <w:szCs w:val="24"/>
        </w:rPr>
        <w:t>六</w:t>
      </w:r>
      <w:r>
        <w:rPr>
          <w:rFonts w:hint="eastAsia" w:ascii="宋体" w:hAnsi="宋体" w:cs="宋体"/>
          <w:color w:val="000000"/>
          <w:sz w:val="24"/>
          <w:szCs w:val="24"/>
          <w:lang w:val="zh-CN"/>
        </w:rPr>
        <w:t>章《投标文件构成、要求及格式》的相关规定提交。</w:t>
      </w:r>
    </w:p>
    <w:p w14:paraId="2F623FFD">
      <w:pPr>
        <w:autoSpaceDE w:val="0"/>
        <w:autoSpaceDN w:val="0"/>
        <w:adjustRightInd w:val="0"/>
        <w:spacing w:line="360" w:lineRule="auto"/>
        <w:ind w:firstLine="482"/>
        <w:rPr>
          <w:rFonts w:hint="eastAsia" w:ascii="宋体" w:hAnsi="宋体" w:cs="宋体"/>
          <w:b/>
          <w:color w:val="000000"/>
          <w:kern w:val="0"/>
          <w:sz w:val="24"/>
          <w:szCs w:val="24"/>
          <w:lang w:val="zh-CN"/>
        </w:rPr>
      </w:pPr>
      <w:r>
        <w:rPr>
          <w:rFonts w:hint="eastAsia" w:ascii="宋体" w:hAnsi="宋体" w:cs="宋体"/>
          <w:b/>
          <w:color w:val="000000"/>
          <w:kern w:val="0"/>
          <w:sz w:val="24"/>
          <w:szCs w:val="24"/>
          <w:lang w:val="zh-CN"/>
        </w:rPr>
        <w:t>4．项目答疑会和踏勘现场：无</w:t>
      </w:r>
    </w:p>
    <w:p w14:paraId="673D8C13">
      <w:pPr>
        <w:autoSpaceDE w:val="0"/>
        <w:autoSpaceDN w:val="0"/>
        <w:adjustRightInd w:val="0"/>
        <w:spacing w:line="360" w:lineRule="auto"/>
        <w:ind w:firstLine="482"/>
        <w:rPr>
          <w:rFonts w:hint="eastAsia" w:ascii="宋体" w:hAnsi="宋体" w:cs="宋体"/>
          <w:color w:val="000000"/>
          <w:sz w:val="24"/>
          <w:szCs w:val="24"/>
          <w:lang w:val="zh-CN"/>
        </w:rPr>
      </w:pPr>
      <w:r>
        <w:rPr>
          <w:rFonts w:hint="eastAsia" w:ascii="宋体" w:hAnsi="宋体" w:cs="宋体"/>
          <w:b/>
          <w:color w:val="000000"/>
          <w:sz w:val="24"/>
          <w:szCs w:val="24"/>
          <w:lang w:val="zh-CN"/>
        </w:rPr>
        <w:t>5．投标费用：</w:t>
      </w:r>
      <w:r>
        <w:rPr>
          <w:rFonts w:hint="eastAsia" w:ascii="宋体" w:hAnsi="宋体" w:cs="宋体"/>
          <w:color w:val="000000"/>
          <w:sz w:val="24"/>
          <w:szCs w:val="24"/>
          <w:lang w:val="zh-CN"/>
        </w:rPr>
        <w:t>投标人应自行承担所有与编写和提交投标文件有关的费用，无论投标的结果如何，采购代理机构和采购人在任何情况下均无义务和责任承担这些费用。</w:t>
      </w:r>
    </w:p>
    <w:p w14:paraId="3F339376">
      <w:pPr>
        <w:autoSpaceDE w:val="0"/>
        <w:autoSpaceDN w:val="0"/>
        <w:adjustRightInd w:val="0"/>
        <w:spacing w:line="360" w:lineRule="auto"/>
        <w:ind w:firstLine="482"/>
        <w:rPr>
          <w:rFonts w:hint="eastAsia" w:ascii="宋体" w:hAnsi="宋体" w:cs="宋体"/>
          <w:b/>
          <w:bCs/>
          <w:sz w:val="24"/>
          <w:szCs w:val="24"/>
          <w:lang w:val="zh-CN"/>
        </w:rPr>
      </w:pPr>
      <w:r>
        <w:rPr>
          <w:rFonts w:hint="eastAsia" w:ascii="宋体" w:hAnsi="宋体" w:cs="宋体"/>
          <w:b/>
          <w:color w:val="000000"/>
          <w:sz w:val="24"/>
          <w:szCs w:val="24"/>
        </w:rPr>
        <w:t>6</w:t>
      </w:r>
      <w:r>
        <w:rPr>
          <w:rFonts w:hint="eastAsia" w:ascii="宋体" w:hAnsi="宋体" w:cs="宋体"/>
          <w:b/>
          <w:color w:val="000000"/>
          <w:sz w:val="24"/>
          <w:szCs w:val="24"/>
          <w:lang w:val="zh-CN"/>
        </w:rPr>
        <w:t>．</w:t>
      </w:r>
      <w:r>
        <w:rPr>
          <w:rFonts w:hint="eastAsia" w:ascii="宋体" w:hAnsi="宋体" w:cs="宋体"/>
          <w:b/>
          <w:bCs/>
          <w:sz w:val="24"/>
          <w:szCs w:val="24"/>
          <w:lang w:val="zh-CN"/>
        </w:rPr>
        <w:t>关于政府采购政策（包括但不限于下列具体政策要求）</w:t>
      </w:r>
    </w:p>
    <w:p w14:paraId="38ACF88C">
      <w:pPr>
        <w:spacing w:line="360" w:lineRule="auto"/>
        <w:ind w:firstLine="480" w:firstLineChars="200"/>
        <w:rPr>
          <w:rFonts w:hint="eastAsia" w:ascii="宋体" w:hAnsi="宋体" w:cs="宋体"/>
          <w:sz w:val="24"/>
          <w:szCs w:val="24"/>
          <w:lang w:val="zh-CN"/>
        </w:rPr>
      </w:pPr>
      <w:r>
        <w:rPr>
          <w:rFonts w:hint="eastAsia" w:ascii="宋体" w:hAnsi="宋体" w:cs="宋体"/>
          <w:sz w:val="24"/>
          <w:szCs w:val="24"/>
        </w:rPr>
        <w:t>6.</w:t>
      </w:r>
      <w:r>
        <w:rPr>
          <w:rFonts w:hint="eastAsia" w:ascii="宋体" w:hAnsi="宋体" w:cs="宋体"/>
          <w:sz w:val="24"/>
          <w:szCs w:val="24"/>
          <w:lang w:val="zh-CN"/>
        </w:rPr>
        <w:t>1．对中小企业、监狱企业、残疾人福利性单位的优惠政策</w:t>
      </w:r>
    </w:p>
    <w:p w14:paraId="5EC7F52A">
      <w:pPr>
        <w:spacing w:line="360" w:lineRule="auto"/>
        <w:ind w:firstLine="480" w:firstLineChars="200"/>
        <w:rPr>
          <w:rFonts w:hint="eastAsia" w:ascii="宋体" w:hAnsi="宋体" w:cs="宋体"/>
          <w:sz w:val="24"/>
          <w:szCs w:val="24"/>
          <w:lang w:val="zh-CN"/>
        </w:rPr>
      </w:pPr>
      <w:r>
        <w:rPr>
          <w:rFonts w:hint="eastAsia" w:ascii="宋体" w:hAnsi="宋体" w:cs="宋体"/>
          <w:sz w:val="24"/>
          <w:szCs w:val="24"/>
          <w:lang w:val="zh-CN"/>
        </w:rPr>
        <w:t>(1)</w:t>
      </w:r>
      <w:r>
        <w:rPr>
          <w:rFonts w:hint="eastAsia" w:ascii="宋体" w:hAnsi="宋体" w:cs="宋体"/>
          <w:color w:val="000000"/>
          <w:sz w:val="24"/>
          <w:szCs w:val="24"/>
          <w:lang w:val="zh-CN"/>
        </w:rPr>
        <w:t>根据《政府采购促进中小企业发展管理办法》(财库[2020]46号)、</w:t>
      </w:r>
      <w:r>
        <w:rPr>
          <w:rFonts w:hint="eastAsia" w:ascii="宋体" w:hAnsi="宋体" w:cs="宋体"/>
          <w:sz w:val="24"/>
          <w:szCs w:val="24"/>
        </w:rPr>
        <w:t>《财政部关于进一步加大政府采购支持中小企业力度的通知》（财库[2022]19号）</w:t>
      </w:r>
      <w:r>
        <w:rPr>
          <w:rFonts w:hint="eastAsia" w:ascii="宋体" w:hAnsi="宋体" w:cs="宋体"/>
          <w:color w:val="000000"/>
          <w:sz w:val="24"/>
          <w:szCs w:val="24"/>
          <w:lang w:val="zh-CN"/>
        </w:rPr>
        <w:t>，对符合本办法规定的小微企业，评标时应当给予</w:t>
      </w:r>
      <w:r>
        <w:rPr>
          <w:rFonts w:hint="eastAsia" w:ascii="宋体" w:hAnsi="宋体" w:cs="宋体"/>
          <w:color w:val="000000"/>
          <w:sz w:val="24"/>
          <w:szCs w:val="24"/>
        </w:rPr>
        <w:t>10</w:t>
      </w:r>
      <w:r>
        <w:rPr>
          <w:rFonts w:hint="eastAsia" w:ascii="宋体" w:hAnsi="宋体" w:cs="宋体"/>
          <w:color w:val="000000"/>
          <w:sz w:val="24"/>
          <w:szCs w:val="24"/>
          <w:lang w:val="zh-CN"/>
        </w:rPr>
        <w:t>%的价格扣除，用扣除后的价格参与评审。</w:t>
      </w:r>
      <w:r>
        <w:rPr>
          <w:rFonts w:hint="eastAsia" w:ascii="宋体" w:hAnsi="宋体" w:cs="宋体"/>
          <w:sz w:val="24"/>
          <w:szCs w:val="24"/>
          <w:lang w:val="zh-CN"/>
        </w:rPr>
        <w:t>同时，依据〔202</w:t>
      </w:r>
      <w:r>
        <w:rPr>
          <w:rFonts w:hint="eastAsia" w:ascii="宋体" w:hAnsi="宋体" w:cs="宋体"/>
          <w:sz w:val="24"/>
          <w:szCs w:val="24"/>
        </w:rPr>
        <w:t>0</w:t>
      </w:r>
      <w:r>
        <w:rPr>
          <w:rFonts w:hint="eastAsia" w:ascii="宋体" w:hAnsi="宋体" w:cs="宋体"/>
          <w:sz w:val="24"/>
          <w:szCs w:val="24"/>
          <w:lang w:val="zh-CN"/>
        </w:rPr>
        <w:t>〕46 号文</w:t>
      </w:r>
      <w:r>
        <w:rPr>
          <w:rFonts w:hint="eastAsia" w:ascii="宋体" w:hAnsi="宋体" w:cs="宋体"/>
          <w:sz w:val="24"/>
          <w:szCs w:val="24"/>
        </w:rPr>
        <w:t>件</w:t>
      </w:r>
      <w:r>
        <w:rPr>
          <w:rFonts w:hint="eastAsia" w:ascii="宋体" w:hAnsi="宋体" w:cs="宋体"/>
          <w:sz w:val="24"/>
          <w:szCs w:val="24"/>
          <w:lang w:val="zh-CN"/>
        </w:rPr>
        <w:t>第四条第二款规定在货物采购项目中，服务商提供的货物既有中小企业制造货物，也有大型企业制造货物的，不享受中小企业扶持政策。</w:t>
      </w:r>
    </w:p>
    <w:p w14:paraId="38153216">
      <w:pPr>
        <w:spacing w:line="360" w:lineRule="auto"/>
        <w:ind w:firstLine="480" w:firstLineChars="200"/>
        <w:rPr>
          <w:rFonts w:hint="eastAsia" w:ascii="宋体" w:hAnsi="宋体" w:cs="宋体"/>
          <w:sz w:val="24"/>
          <w:szCs w:val="24"/>
          <w:lang w:val="zh-CN"/>
        </w:rPr>
      </w:pPr>
      <w:r>
        <w:rPr>
          <w:rFonts w:hint="eastAsia" w:ascii="宋体" w:hAnsi="宋体" w:cs="宋体"/>
          <w:sz w:val="24"/>
          <w:szCs w:val="24"/>
          <w:lang w:val="zh-CN"/>
        </w:rPr>
        <w:t>(2) 根据《关于政府采购支持监狱企业发展有关问题的通知》(财库[2014]68号)，在政府采购活动中，监狱企业视同小型、微型企业，监狱企业投标的提供由省级以上监狱管理局、戒毒管理局(含新疆生产建设兵团)出具的属于监狱企业的证明文件，不再提供《中小微企业声明函》。</w:t>
      </w:r>
    </w:p>
    <w:p w14:paraId="202F4A10">
      <w:pPr>
        <w:spacing w:line="360" w:lineRule="auto"/>
        <w:ind w:firstLine="480" w:firstLineChars="200"/>
        <w:rPr>
          <w:rFonts w:hint="eastAsia" w:ascii="宋体" w:hAnsi="宋体" w:cs="宋体"/>
          <w:sz w:val="24"/>
          <w:szCs w:val="24"/>
          <w:lang w:val="zh-CN"/>
        </w:rPr>
      </w:pPr>
      <w:r>
        <w:rPr>
          <w:rFonts w:hint="eastAsia" w:ascii="宋体" w:hAnsi="宋体" w:cs="宋体"/>
          <w:sz w:val="24"/>
          <w:szCs w:val="24"/>
          <w:lang w:val="zh-CN"/>
        </w:rPr>
        <w:t xml:space="preserve">(3) </w:t>
      </w:r>
      <w:r>
        <w:rPr>
          <w:rFonts w:hint="eastAsia" w:ascii="宋体" w:hAnsi="宋体" w:cs="宋体"/>
          <w:color w:val="000000"/>
          <w:sz w:val="24"/>
          <w:szCs w:val="24"/>
          <w:lang w:val="zh-CN"/>
        </w:rPr>
        <w:t>根据《关于促进残疾人就业政府采购政策的通知》(财库[2017]141号)，在政府采购活动中，残疾人福利性单位视同小型、微型企业，符合条件的残疾人福利性单位应当提供《残疾人福利性单位声明函》，并对声明的真实性负责。任何单位或者个人在政府采购活动中均不得要求残疾人福利性单位提供其他证明声明函内容的材料。残疾人福利性单位属于小型、微型企业的，不重复享受政策</w:t>
      </w:r>
      <w:r>
        <w:rPr>
          <w:rFonts w:hint="eastAsia" w:ascii="宋体" w:hAnsi="宋体" w:cs="宋体"/>
          <w:sz w:val="24"/>
          <w:szCs w:val="24"/>
          <w:lang w:val="zh-CN"/>
        </w:rPr>
        <w:t>。</w:t>
      </w:r>
    </w:p>
    <w:p w14:paraId="51391A02">
      <w:pPr>
        <w:spacing w:line="360" w:lineRule="auto"/>
        <w:ind w:firstLine="480" w:firstLineChars="200"/>
        <w:rPr>
          <w:rFonts w:hint="eastAsia" w:ascii="宋体" w:hAnsi="宋体" w:cs="宋体"/>
          <w:sz w:val="24"/>
          <w:szCs w:val="24"/>
          <w:lang w:val="zh-CN"/>
        </w:rPr>
      </w:pPr>
      <w:r>
        <w:rPr>
          <w:rFonts w:hint="eastAsia" w:ascii="宋体" w:hAnsi="宋体" w:cs="宋体"/>
          <w:sz w:val="24"/>
          <w:szCs w:val="24"/>
          <w:lang w:val="zh-CN"/>
        </w:rPr>
        <w:t>(4) 参加政府采购活动的中小企业、监狱企业、残疾人福利性单位应根据企业性质分别提供《中小企业声明函》/《监狱企业证明函》/《残疾人福利性单位声明函》。其中，《监狱企业证明函》应由省级以上监狱管理局、戒毒管理局(含新疆生产建设兵团)出具。未提供上述声明函/证明函的，不能享受招标文件规定的价格扣除，但不影响投标文件的有效性。</w:t>
      </w:r>
    </w:p>
    <w:p w14:paraId="16A7A289">
      <w:pPr>
        <w:spacing w:line="360" w:lineRule="auto"/>
        <w:ind w:firstLine="480" w:firstLineChars="200"/>
        <w:rPr>
          <w:rFonts w:hint="eastAsia" w:ascii="宋体" w:hAnsi="宋体" w:cs="宋体"/>
          <w:sz w:val="24"/>
          <w:szCs w:val="24"/>
          <w:lang w:val="zh-CN"/>
        </w:rPr>
      </w:pPr>
      <w:r>
        <w:rPr>
          <w:rFonts w:hint="eastAsia" w:ascii="宋体" w:hAnsi="宋体" w:cs="宋体"/>
          <w:sz w:val="24"/>
          <w:szCs w:val="24"/>
        </w:rPr>
        <w:t>6.</w:t>
      </w:r>
      <w:r>
        <w:rPr>
          <w:rFonts w:hint="eastAsia" w:ascii="宋体" w:hAnsi="宋体" w:cs="宋体"/>
          <w:sz w:val="24"/>
          <w:szCs w:val="24"/>
          <w:lang w:val="zh-CN"/>
        </w:rPr>
        <w:t>2．节能、环保产品采购政策</w:t>
      </w:r>
    </w:p>
    <w:p w14:paraId="38131326">
      <w:pPr>
        <w:autoSpaceDE w:val="0"/>
        <w:autoSpaceDN w:val="0"/>
        <w:adjustRightInd w:val="0"/>
        <w:spacing w:line="360" w:lineRule="auto"/>
        <w:ind w:firstLine="480" w:firstLineChars="200"/>
        <w:jc w:val="left"/>
        <w:rPr>
          <w:rFonts w:hint="eastAsia" w:ascii="宋体" w:hAnsi="宋体" w:cs="宋体"/>
          <w:sz w:val="24"/>
          <w:szCs w:val="24"/>
          <w:lang w:val="zh-CN"/>
        </w:rPr>
      </w:pPr>
      <w:r>
        <w:rPr>
          <w:rFonts w:hint="eastAsia" w:ascii="宋体" w:hAnsi="宋体" w:cs="宋体"/>
          <w:sz w:val="24"/>
          <w:szCs w:val="24"/>
          <w:lang w:val="zh-CN"/>
        </w:rPr>
        <w:t>(1) 根据财政部、发展改革委、生态环境部、市场监管总局《关于调整优化节能产品、环境标志产品政府采购执行机制的通知》(财库〔2019〕9 号) 规定“对政府采购节能产品、环境标志产品实施品目清单管理”。采购人拟采购的产品属于品目清单范围的，依据国家确定的认证机构出具的、处于有效期之内的节能产品、环境标志产品认证证书，对获得证书的产品实施政府优先采购或强制采购。</w:t>
      </w:r>
    </w:p>
    <w:p w14:paraId="4ED2672E">
      <w:pPr>
        <w:spacing w:line="360" w:lineRule="auto"/>
        <w:ind w:firstLine="480" w:firstLineChars="200"/>
        <w:rPr>
          <w:rFonts w:hint="eastAsia" w:ascii="宋体" w:hAnsi="宋体" w:cs="宋体"/>
          <w:sz w:val="24"/>
          <w:szCs w:val="24"/>
          <w:lang w:val="zh-CN"/>
        </w:rPr>
      </w:pPr>
      <w:r>
        <w:rPr>
          <w:rFonts w:hint="eastAsia" w:ascii="宋体" w:hAnsi="宋体" w:cs="宋体"/>
          <w:sz w:val="24"/>
          <w:szCs w:val="24"/>
          <w:lang w:val="zh-CN"/>
        </w:rPr>
        <w:t>(2) 对于已列入品目清单的产品类别，采购人可在采购需求中提出更高的节约资源和保护环境要求，对符合条件的获证产品给予优先待遇。对于未列入品目清单的产品类别，鼓励采购人综合考虑节能、节水、环保、循环、低碳、再生、有机等因素，参考相关国家标准、行业标准或团体标准，在采购需求中提出相关绿色采购要求，促进绿色产品推广应用。</w:t>
      </w:r>
    </w:p>
    <w:p w14:paraId="78CD2966">
      <w:pPr>
        <w:spacing w:line="360" w:lineRule="auto"/>
        <w:ind w:firstLine="480" w:firstLineChars="200"/>
        <w:rPr>
          <w:rFonts w:hint="eastAsia" w:ascii="宋体" w:hAnsi="宋体" w:cs="宋体"/>
          <w:sz w:val="24"/>
          <w:szCs w:val="24"/>
          <w:lang w:val="zh-CN"/>
        </w:rPr>
      </w:pPr>
      <w:r>
        <w:rPr>
          <w:rFonts w:hint="eastAsia" w:ascii="宋体" w:hAnsi="宋体" w:cs="宋体"/>
          <w:sz w:val="24"/>
          <w:szCs w:val="24"/>
          <w:lang w:val="zh-CN"/>
        </w:rPr>
        <w:t>(3)《节能产品政府采购品目清单》见财政部、发展改革委《关于印发节能产品政府采购品目清单的通知》(财库〔2019〕19 号) 附件。</w:t>
      </w:r>
    </w:p>
    <w:p w14:paraId="71BA1827">
      <w:pPr>
        <w:spacing w:line="360" w:lineRule="auto"/>
        <w:ind w:firstLine="480" w:firstLineChars="200"/>
        <w:rPr>
          <w:rFonts w:hint="eastAsia" w:ascii="宋体" w:hAnsi="宋体" w:cs="宋体"/>
          <w:sz w:val="24"/>
          <w:szCs w:val="24"/>
          <w:lang w:val="zh-CN"/>
        </w:rPr>
      </w:pPr>
      <w:r>
        <w:rPr>
          <w:rFonts w:hint="eastAsia" w:ascii="宋体" w:hAnsi="宋体" w:cs="宋体"/>
          <w:sz w:val="24"/>
          <w:szCs w:val="24"/>
          <w:lang w:val="zh-CN"/>
        </w:rPr>
        <w:t>(4)《环境标志产品政府采购品目清单》见财政部、生态环境部《关于印发环境标志产品政府采购品目清单的通知》(财库〔2019〕18 号) 附件。</w:t>
      </w:r>
    </w:p>
    <w:p w14:paraId="0B3D71CE">
      <w:pPr>
        <w:spacing w:line="360" w:lineRule="auto"/>
        <w:ind w:firstLine="480" w:firstLineChars="200"/>
        <w:rPr>
          <w:rFonts w:hint="eastAsia" w:ascii="宋体" w:hAnsi="宋体" w:cs="宋体"/>
          <w:sz w:val="24"/>
          <w:szCs w:val="24"/>
          <w:lang w:val="zh-CN"/>
        </w:rPr>
      </w:pPr>
      <w:r>
        <w:rPr>
          <w:rFonts w:hint="eastAsia" w:ascii="宋体" w:hAnsi="宋体" w:cs="宋体"/>
          <w:sz w:val="24"/>
          <w:szCs w:val="24"/>
          <w:lang w:val="zh-CN"/>
        </w:rPr>
        <w:t>(5) “国家确定的认证机构”名单见市场监管总局《关于发布参与实施政府采购节能产品、环境标志产品认证机构名录的公告》(2019 年第 16 号)。</w:t>
      </w:r>
    </w:p>
    <w:p w14:paraId="4F439306">
      <w:pPr>
        <w:spacing w:line="360" w:lineRule="auto"/>
        <w:ind w:firstLine="480" w:firstLineChars="200"/>
        <w:rPr>
          <w:rFonts w:hint="eastAsia" w:ascii="宋体" w:hAnsi="宋体" w:cs="宋体"/>
          <w:sz w:val="24"/>
          <w:szCs w:val="24"/>
        </w:rPr>
      </w:pPr>
      <w:r>
        <w:rPr>
          <w:rFonts w:hint="eastAsia" w:ascii="宋体" w:hAnsi="宋体" w:cs="宋体"/>
          <w:sz w:val="24"/>
          <w:szCs w:val="24"/>
        </w:rPr>
        <w:t xml:space="preserve">6.3. 政府采购进口产品的规定 </w:t>
      </w:r>
    </w:p>
    <w:p w14:paraId="6E6C26F1">
      <w:pPr>
        <w:spacing w:line="360" w:lineRule="auto"/>
        <w:ind w:firstLine="480" w:firstLineChars="200"/>
        <w:rPr>
          <w:rFonts w:hint="eastAsia" w:ascii="宋体" w:hAnsi="宋体" w:cs="宋体"/>
          <w:sz w:val="24"/>
          <w:szCs w:val="24"/>
        </w:rPr>
      </w:pPr>
      <w:r>
        <w:rPr>
          <w:rFonts w:hint="eastAsia" w:ascii="宋体" w:hAnsi="宋体" w:cs="宋体"/>
          <w:sz w:val="24"/>
          <w:szCs w:val="24"/>
        </w:rPr>
        <w:t>按照财政部《政府采购进口产品管理办法》第一章第四条关于“政府采购应当采购本国产品，确需采购进口产品（指通过中国海关报关验放进入中国境内且产自关境外的产品）的，实行审核管理”的规定，招标采购文件中凡未明确标明采购进口产品的，均为采购本国产品，投标人必须投标本国产品，投标进口产品的为无效投标。在中国境内生产或组装的外国品牌产品须标明该产品在中国国内制造厂商名称。否则，按进口产品对待。</w:t>
      </w:r>
    </w:p>
    <w:p w14:paraId="461EDC9E">
      <w:pPr>
        <w:spacing w:line="360" w:lineRule="auto"/>
        <w:ind w:firstLine="480" w:firstLineChars="200"/>
        <w:rPr>
          <w:rFonts w:hint="eastAsia" w:ascii="宋体" w:hAnsi="宋体" w:cs="宋体"/>
          <w:sz w:val="24"/>
          <w:szCs w:val="24"/>
        </w:rPr>
      </w:pPr>
      <w:r>
        <w:rPr>
          <w:rFonts w:hint="eastAsia" w:ascii="宋体" w:hAnsi="宋体" w:cs="宋体"/>
          <w:sz w:val="24"/>
          <w:szCs w:val="24"/>
        </w:rPr>
        <w:t xml:space="preserve">6.4.正版软件 </w:t>
      </w:r>
    </w:p>
    <w:p w14:paraId="290276FC">
      <w:pPr>
        <w:spacing w:line="360" w:lineRule="auto"/>
        <w:ind w:firstLine="480" w:firstLineChars="200"/>
        <w:rPr>
          <w:rFonts w:hint="eastAsia" w:ascii="宋体" w:hAnsi="宋体" w:cs="宋体"/>
          <w:sz w:val="24"/>
          <w:szCs w:val="24"/>
        </w:rPr>
      </w:pPr>
      <w:r>
        <w:rPr>
          <w:rFonts w:hint="eastAsia" w:ascii="宋体" w:hAnsi="宋体" w:cs="宋体"/>
          <w:sz w:val="24"/>
          <w:szCs w:val="24"/>
        </w:rPr>
        <w:t xml:space="preserve">6.4.1 依据《财政部国家发展改革委信息产业部关于印发无线局域网产品政府采购实施意见的通知》（财库〔2005〕366 号），采购无线局域网产品和含有无线局域网功能的计算机、通信设备、打印机、复印机、投影仪等产品的，优先采购符合国家无线局域网安全标准（GB </w:t>
      </w:r>
    </w:p>
    <w:p w14:paraId="5E9B765D">
      <w:pPr>
        <w:spacing w:line="360" w:lineRule="auto"/>
        <w:rPr>
          <w:rFonts w:hint="eastAsia" w:ascii="宋体" w:hAnsi="宋体" w:cs="宋体"/>
          <w:sz w:val="24"/>
          <w:szCs w:val="24"/>
        </w:rPr>
      </w:pPr>
      <w:r>
        <w:rPr>
          <w:rFonts w:hint="eastAsia" w:ascii="宋体" w:hAnsi="宋体" w:cs="宋体"/>
          <w:sz w:val="24"/>
          <w:szCs w:val="24"/>
        </w:rPr>
        <w:t xml:space="preserve">15629.11/1102）并通过国家产品认证的产品。其中，国家有特殊信息安全要求的项目必须采购认证产品，否则投标无效。财政部、国家发展改革委、信息产业部根据政府采购改革进展和无线局域网产品技术及市场成熟等情况，从国家指定的认证机构认证的生产厂商和产品型号中确定优先采购的产品，并以无线局域网认证产品政府采购清单（以下简称清单）的形式公布。清单中新增认证产品厂商和型号，由财政部、国家发展改革委、信息产业部以文件形式确定、公布并适时调整。 </w:t>
      </w:r>
    </w:p>
    <w:p w14:paraId="0D18BF4E">
      <w:pPr>
        <w:spacing w:line="360" w:lineRule="auto"/>
        <w:ind w:firstLine="480" w:firstLineChars="200"/>
        <w:rPr>
          <w:rFonts w:hint="eastAsia" w:ascii="宋体" w:hAnsi="宋体" w:cs="宋体"/>
          <w:sz w:val="24"/>
          <w:szCs w:val="24"/>
        </w:rPr>
      </w:pPr>
      <w:r>
        <w:rPr>
          <w:rFonts w:hint="eastAsia" w:ascii="宋体" w:hAnsi="宋体" w:cs="宋体"/>
          <w:sz w:val="24"/>
          <w:szCs w:val="24"/>
        </w:rPr>
        <w:t xml:space="preserve">6.4.2各级政府部门在购置计算机办公设备时，必须采购预装正版操作系统软件的计算机产品，相关规定依据《国家版权局、信息产业部、财政部、国务院机关事务管理局关于政府部门购置计算机办公设备必须采购已预装正版操作系统软件产品的通知》（国权联〔2006〕1 号）、 </w:t>
      </w:r>
    </w:p>
    <w:p w14:paraId="096FCDEF">
      <w:pPr>
        <w:spacing w:line="360" w:lineRule="auto"/>
        <w:rPr>
          <w:rFonts w:hint="eastAsia" w:ascii="宋体" w:hAnsi="宋体" w:cs="宋体"/>
          <w:sz w:val="24"/>
          <w:szCs w:val="24"/>
        </w:rPr>
      </w:pPr>
      <w:r>
        <w:rPr>
          <w:rFonts w:hint="eastAsia" w:ascii="宋体" w:hAnsi="宋体" w:cs="宋体"/>
          <w:sz w:val="24"/>
          <w:szCs w:val="24"/>
        </w:rPr>
        <w:t xml:space="preserve">《国务院办公厅关于进一步做好政府机关使用正版软件工作的通知》 （国办发〔2010〕47 号）、《财政部关于进一步做好政府机关使用正版软件工作的通知》（财预〔2010〕536 号）。 </w:t>
      </w:r>
    </w:p>
    <w:p w14:paraId="213BFEF3">
      <w:pPr>
        <w:spacing w:line="360" w:lineRule="auto"/>
        <w:ind w:firstLine="480" w:firstLineChars="200"/>
        <w:rPr>
          <w:rFonts w:hint="eastAsia" w:ascii="宋体" w:hAnsi="宋体" w:cs="宋体"/>
          <w:sz w:val="24"/>
          <w:szCs w:val="24"/>
        </w:rPr>
      </w:pPr>
      <w:r>
        <w:rPr>
          <w:rFonts w:hint="eastAsia" w:ascii="宋体" w:hAnsi="宋体" w:cs="宋体"/>
          <w:sz w:val="24"/>
          <w:szCs w:val="24"/>
        </w:rPr>
        <w:t xml:space="preserve">6.5 网络安全专用产品 </w:t>
      </w:r>
    </w:p>
    <w:p w14:paraId="15B081CD">
      <w:pPr>
        <w:spacing w:line="360" w:lineRule="auto"/>
        <w:ind w:firstLine="480" w:firstLineChars="200"/>
        <w:rPr>
          <w:rFonts w:hint="eastAsia" w:ascii="宋体" w:hAnsi="宋体" w:cs="宋体"/>
          <w:sz w:val="24"/>
          <w:szCs w:val="24"/>
        </w:rPr>
      </w:pPr>
      <w:r>
        <w:rPr>
          <w:rFonts w:hint="eastAsia" w:ascii="宋体" w:hAnsi="宋体" w:cs="宋体"/>
          <w:sz w:val="24"/>
          <w:szCs w:val="24"/>
        </w:rPr>
        <w:t>6.5.1 所投产品属于列入《网络关键设备和网络安全专用产品目录》的网络安全专用产品，应当在国家互联网信息办公室会同工业和信息化部、公安部、国家认证认可监督管理委员会统一公布和更新的符合要求的网络关键设备和网络安全专用产品清单中。</w:t>
      </w:r>
    </w:p>
    <w:p w14:paraId="2F7060ED">
      <w:pPr>
        <w:autoSpaceDE w:val="0"/>
        <w:autoSpaceDN w:val="0"/>
        <w:adjustRightInd w:val="0"/>
        <w:spacing w:line="360" w:lineRule="auto"/>
        <w:ind w:firstLine="482"/>
        <w:rPr>
          <w:rFonts w:hint="eastAsia" w:ascii="宋体" w:hAnsi="宋体" w:cs="宋体"/>
          <w:b/>
          <w:color w:val="000000"/>
          <w:sz w:val="24"/>
          <w:szCs w:val="24"/>
          <w:lang w:val="zh-CN"/>
        </w:rPr>
      </w:pPr>
      <w:r>
        <w:rPr>
          <w:rFonts w:hint="eastAsia" w:ascii="宋体" w:hAnsi="宋体" w:cs="宋体"/>
          <w:b/>
          <w:color w:val="000000"/>
          <w:sz w:val="24"/>
          <w:szCs w:val="24"/>
        </w:rPr>
        <w:t>7</w:t>
      </w:r>
      <w:r>
        <w:rPr>
          <w:rFonts w:hint="eastAsia" w:ascii="宋体" w:hAnsi="宋体" w:cs="宋体"/>
          <w:b/>
          <w:color w:val="000000"/>
          <w:sz w:val="24"/>
          <w:szCs w:val="24"/>
          <w:lang w:val="zh-CN"/>
        </w:rPr>
        <w:t>. 招标文件：</w:t>
      </w:r>
    </w:p>
    <w:p w14:paraId="05433A92">
      <w:pPr>
        <w:autoSpaceDE w:val="0"/>
        <w:autoSpaceDN w:val="0"/>
        <w:adjustRightInd w:val="0"/>
        <w:spacing w:line="360" w:lineRule="auto"/>
        <w:ind w:firstLine="480"/>
        <w:rPr>
          <w:rFonts w:hint="eastAsia" w:ascii="宋体" w:hAnsi="宋体" w:cs="宋体"/>
          <w:color w:val="000000"/>
          <w:sz w:val="24"/>
          <w:szCs w:val="24"/>
          <w:lang w:val="zh-CN"/>
        </w:rPr>
      </w:pPr>
      <w:r>
        <w:rPr>
          <w:rFonts w:hint="eastAsia" w:ascii="宋体" w:hAnsi="宋体" w:cs="宋体"/>
          <w:color w:val="000000"/>
          <w:sz w:val="24"/>
          <w:szCs w:val="24"/>
        </w:rPr>
        <w:t>7</w:t>
      </w:r>
      <w:r>
        <w:rPr>
          <w:rFonts w:hint="eastAsia" w:ascii="宋体" w:hAnsi="宋体" w:cs="宋体"/>
          <w:color w:val="000000"/>
          <w:sz w:val="24"/>
          <w:szCs w:val="24"/>
          <w:lang w:val="zh-CN"/>
        </w:rPr>
        <w:t>.1 招标文件的构成：</w:t>
      </w:r>
    </w:p>
    <w:p w14:paraId="7F2A97AD">
      <w:pPr>
        <w:autoSpaceDE w:val="0"/>
        <w:autoSpaceDN w:val="0"/>
        <w:adjustRightInd w:val="0"/>
        <w:spacing w:line="360" w:lineRule="auto"/>
        <w:ind w:firstLine="720"/>
        <w:rPr>
          <w:rFonts w:hint="eastAsia" w:ascii="宋体" w:hAnsi="宋体" w:cs="宋体"/>
          <w:color w:val="000000"/>
          <w:sz w:val="24"/>
          <w:szCs w:val="24"/>
          <w:lang w:val="zh-CN"/>
        </w:rPr>
      </w:pPr>
      <w:r>
        <w:rPr>
          <w:rFonts w:hint="eastAsia" w:ascii="宋体" w:hAnsi="宋体" w:cs="宋体"/>
          <w:color w:val="000000"/>
          <w:sz w:val="24"/>
          <w:szCs w:val="24"/>
          <w:lang w:val="zh-CN"/>
        </w:rPr>
        <w:t>第一章 招标公告</w:t>
      </w:r>
    </w:p>
    <w:p w14:paraId="2009C13C">
      <w:pPr>
        <w:autoSpaceDE w:val="0"/>
        <w:autoSpaceDN w:val="0"/>
        <w:adjustRightInd w:val="0"/>
        <w:spacing w:line="360" w:lineRule="auto"/>
        <w:ind w:firstLine="720"/>
        <w:rPr>
          <w:rFonts w:hint="eastAsia" w:ascii="宋体" w:hAnsi="宋体" w:cs="宋体"/>
          <w:color w:val="000000"/>
          <w:sz w:val="24"/>
          <w:szCs w:val="24"/>
          <w:lang w:val="zh-CN"/>
        </w:rPr>
      </w:pPr>
      <w:r>
        <w:rPr>
          <w:rFonts w:hint="eastAsia" w:ascii="宋体" w:hAnsi="宋体" w:cs="宋体"/>
          <w:color w:val="000000"/>
          <w:sz w:val="24"/>
          <w:szCs w:val="24"/>
          <w:lang w:val="zh-CN"/>
        </w:rPr>
        <w:t>第二章 投标人须知</w:t>
      </w:r>
    </w:p>
    <w:p w14:paraId="3146D82A">
      <w:pPr>
        <w:autoSpaceDE w:val="0"/>
        <w:autoSpaceDN w:val="0"/>
        <w:adjustRightInd w:val="0"/>
        <w:spacing w:line="360" w:lineRule="auto"/>
        <w:ind w:firstLine="720"/>
        <w:rPr>
          <w:rFonts w:hint="eastAsia" w:ascii="宋体" w:hAnsi="宋体" w:cs="宋体"/>
          <w:color w:val="000000"/>
          <w:sz w:val="24"/>
          <w:szCs w:val="24"/>
          <w:lang w:val="zh-CN"/>
        </w:rPr>
      </w:pPr>
      <w:r>
        <w:rPr>
          <w:rFonts w:hint="eastAsia" w:ascii="宋体" w:hAnsi="宋体" w:cs="宋体"/>
          <w:color w:val="000000"/>
          <w:sz w:val="24"/>
          <w:szCs w:val="24"/>
          <w:lang w:val="zh-CN"/>
        </w:rPr>
        <w:t>第三章 评标标准和方法</w:t>
      </w:r>
    </w:p>
    <w:p w14:paraId="05DF9409">
      <w:pPr>
        <w:autoSpaceDE w:val="0"/>
        <w:autoSpaceDN w:val="0"/>
        <w:adjustRightInd w:val="0"/>
        <w:spacing w:line="360" w:lineRule="auto"/>
        <w:ind w:firstLine="720"/>
        <w:rPr>
          <w:rFonts w:hint="eastAsia" w:ascii="宋体" w:hAnsi="宋体" w:cs="宋体"/>
          <w:color w:val="000000"/>
          <w:sz w:val="24"/>
          <w:szCs w:val="24"/>
          <w:lang w:val="zh-CN"/>
        </w:rPr>
      </w:pPr>
      <w:r>
        <w:rPr>
          <w:rFonts w:hint="eastAsia" w:ascii="宋体" w:hAnsi="宋体" w:cs="宋体"/>
          <w:color w:val="000000"/>
          <w:sz w:val="24"/>
          <w:szCs w:val="24"/>
          <w:lang w:val="zh-CN"/>
        </w:rPr>
        <w:t>第</w:t>
      </w:r>
      <w:r>
        <w:rPr>
          <w:rFonts w:hint="eastAsia" w:ascii="宋体" w:hAnsi="宋体" w:cs="宋体"/>
          <w:color w:val="000000"/>
          <w:sz w:val="24"/>
          <w:szCs w:val="24"/>
        </w:rPr>
        <w:t>四</w:t>
      </w:r>
      <w:r>
        <w:rPr>
          <w:rFonts w:hint="eastAsia" w:ascii="宋体" w:hAnsi="宋体" w:cs="宋体"/>
          <w:color w:val="000000"/>
          <w:sz w:val="24"/>
          <w:szCs w:val="24"/>
          <w:lang w:val="zh-CN"/>
        </w:rPr>
        <w:t>章 政府采购合同书格式</w:t>
      </w:r>
    </w:p>
    <w:p w14:paraId="6D3EC966">
      <w:pPr>
        <w:autoSpaceDE w:val="0"/>
        <w:autoSpaceDN w:val="0"/>
        <w:adjustRightInd w:val="0"/>
        <w:spacing w:line="360" w:lineRule="auto"/>
        <w:ind w:firstLine="720"/>
        <w:rPr>
          <w:rFonts w:hint="eastAsia" w:ascii="宋体" w:hAnsi="宋体" w:cs="宋体"/>
          <w:color w:val="000000"/>
          <w:sz w:val="24"/>
          <w:szCs w:val="24"/>
          <w:lang w:val="zh-CN"/>
        </w:rPr>
      </w:pPr>
      <w:r>
        <w:rPr>
          <w:rFonts w:hint="eastAsia" w:ascii="宋体" w:hAnsi="宋体" w:cs="宋体"/>
          <w:color w:val="000000"/>
          <w:sz w:val="24"/>
          <w:szCs w:val="24"/>
          <w:lang w:val="zh-CN"/>
        </w:rPr>
        <w:t>第</w:t>
      </w:r>
      <w:r>
        <w:rPr>
          <w:rFonts w:hint="eastAsia" w:ascii="宋体" w:hAnsi="宋体" w:cs="宋体"/>
          <w:color w:val="000000"/>
          <w:sz w:val="24"/>
          <w:szCs w:val="24"/>
        </w:rPr>
        <w:t>五</w:t>
      </w:r>
      <w:r>
        <w:rPr>
          <w:rFonts w:hint="eastAsia" w:ascii="宋体" w:hAnsi="宋体" w:cs="宋体"/>
          <w:color w:val="000000"/>
          <w:sz w:val="24"/>
          <w:szCs w:val="24"/>
          <w:lang w:val="zh-CN"/>
        </w:rPr>
        <w:t>章 采购需求</w:t>
      </w:r>
    </w:p>
    <w:p w14:paraId="1CC14DBC">
      <w:pPr>
        <w:autoSpaceDE w:val="0"/>
        <w:autoSpaceDN w:val="0"/>
        <w:adjustRightInd w:val="0"/>
        <w:spacing w:line="360" w:lineRule="auto"/>
        <w:ind w:firstLine="720"/>
        <w:rPr>
          <w:rFonts w:hint="eastAsia" w:ascii="宋体" w:hAnsi="宋体" w:cs="宋体"/>
          <w:b/>
          <w:color w:val="000000"/>
          <w:sz w:val="24"/>
          <w:szCs w:val="24"/>
          <w:lang w:val="zh-CN"/>
        </w:rPr>
      </w:pPr>
      <w:r>
        <w:rPr>
          <w:rFonts w:hint="eastAsia" w:ascii="宋体" w:hAnsi="宋体" w:cs="宋体"/>
          <w:color w:val="000000"/>
          <w:sz w:val="24"/>
          <w:szCs w:val="24"/>
          <w:lang w:val="zh-CN"/>
        </w:rPr>
        <w:t>第</w:t>
      </w:r>
      <w:r>
        <w:rPr>
          <w:rFonts w:hint="eastAsia" w:ascii="宋体" w:hAnsi="宋体" w:cs="宋体"/>
          <w:color w:val="000000"/>
          <w:sz w:val="24"/>
          <w:szCs w:val="24"/>
        </w:rPr>
        <w:t>六</w:t>
      </w:r>
      <w:r>
        <w:rPr>
          <w:rFonts w:hint="eastAsia" w:ascii="宋体" w:hAnsi="宋体" w:cs="宋体"/>
          <w:color w:val="000000"/>
          <w:sz w:val="24"/>
          <w:szCs w:val="24"/>
          <w:lang w:val="zh-CN"/>
        </w:rPr>
        <w:t>章 投标文件构成、要求及格式</w:t>
      </w:r>
    </w:p>
    <w:p w14:paraId="3ECFEC8E">
      <w:pPr>
        <w:autoSpaceDE w:val="0"/>
        <w:autoSpaceDN w:val="0"/>
        <w:adjustRightInd w:val="0"/>
        <w:spacing w:line="360" w:lineRule="auto"/>
        <w:ind w:firstLine="720"/>
        <w:rPr>
          <w:rFonts w:hint="eastAsia" w:ascii="宋体" w:hAnsi="宋体" w:cs="宋体"/>
          <w:color w:val="000000"/>
          <w:sz w:val="24"/>
          <w:szCs w:val="24"/>
          <w:lang w:val="zh-CN"/>
        </w:rPr>
      </w:pPr>
      <w:r>
        <w:rPr>
          <w:rFonts w:hint="eastAsia" w:ascii="宋体" w:hAnsi="宋体" w:cs="宋体"/>
          <w:color w:val="000000"/>
          <w:sz w:val="24"/>
          <w:szCs w:val="24"/>
          <w:lang w:val="zh-CN"/>
        </w:rPr>
        <w:t>第</w:t>
      </w:r>
      <w:r>
        <w:rPr>
          <w:rFonts w:hint="eastAsia" w:ascii="宋体" w:hAnsi="宋体" w:cs="宋体"/>
          <w:color w:val="000000"/>
          <w:sz w:val="24"/>
          <w:szCs w:val="24"/>
        </w:rPr>
        <w:t>七</w:t>
      </w:r>
      <w:r>
        <w:rPr>
          <w:rFonts w:hint="eastAsia" w:ascii="宋体" w:hAnsi="宋体" w:cs="宋体"/>
          <w:color w:val="000000"/>
          <w:sz w:val="24"/>
          <w:szCs w:val="24"/>
          <w:lang w:val="zh-CN"/>
        </w:rPr>
        <w:t>章 附件</w:t>
      </w:r>
    </w:p>
    <w:p w14:paraId="49B2D376">
      <w:pPr>
        <w:autoSpaceDE w:val="0"/>
        <w:autoSpaceDN w:val="0"/>
        <w:adjustRightInd w:val="0"/>
        <w:spacing w:line="360" w:lineRule="auto"/>
        <w:ind w:firstLine="480"/>
        <w:rPr>
          <w:rFonts w:hint="eastAsia" w:ascii="宋体" w:hAnsi="宋体" w:cs="宋体"/>
          <w:b/>
          <w:color w:val="000000"/>
          <w:sz w:val="24"/>
          <w:szCs w:val="24"/>
          <w:lang w:val="zh-CN"/>
        </w:rPr>
      </w:pPr>
      <w:r>
        <w:rPr>
          <w:rFonts w:hint="eastAsia" w:ascii="宋体" w:hAnsi="宋体" w:cs="宋体"/>
          <w:color w:val="000000"/>
          <w:sz w:val="24"/>
          <w:szCs w:val="24"/>
        </w:rPr>
        <w:t>7</w:t>
      </w:r>
      <w:r>
        <w:rPr>
          <w:rFonts w:hint="eastAsia" w:ascii="宋体" w:hAnsi="宋体" w:cs="宋体"/>
          <w:color w:val="000000"/>
          <w:sz w:val="24"/>
          <w:szCs w:val="24"/>
          <w:lang w:val="zh-CN"/>
        </w:rPr>
        <w:t>.2投标人应认真阅读招标文件中所有事项、格式、条款和规范等要求。如果投标人没有按照招标文件要求提交全部文件资料或投标文件没有对招标文件在各方面都做出实质性响应，是投标人的风险。</w:t>
      </w:r>
    </w:p>
    <w:p w14:paraId="6C672178">
      <w:pPr>
        <w:autoSpaceDE w:val="0"/>
        <w:autoSpaceDN w:val="0"/>
        <w:adjustRightInd w:val="0"/>
        <w:spacing w:line="360" w:lineRule="auto"/>
        <w:ind w:firstLine="482"/>
        <w:rPr>
          <w:rFonts w:hint="eastAsia" w:ascii="宋体" w:hAnsi="宋体" w:cs="宋体"/>
          <w:b/>
          <w:color w:val="000000"/>
          <w:sz w:val="24"/>
          <w:szCs w:val="24"/>
          <w:lang w:val="zh-CN"/>
        </w:rPr>
      </w:pPr>
      <w:r>
        <w:rPr>
          <w:rFonts w:hint="eastAsia" w:ascii="宋体" w:hAnsi="宋体" w:cs="宋体"/>
          <w:b/>
          <w:color w:val="000000"/>
          <w:sz w:val="24"/>
          <w:szCs w:val="24"/>
        </w:rPr>
        <w:t>8</w:t>
      </w:r>
      <w:r>
        <w:rPr>
          <w:rFonts w:hint="eastAsia" w:ascii="宋体" w:hAnsi="宋体" w:cs="宋体"/>
          <w:b/>
          <w:color w:val="000000"/>
          <w:sz w:val="24"/>
          <w:szCs w:val="24"/>
          <w:lang w:val="zh-CN"/>
        </w:rPr>
        <w:t>. 招标文件的澄清和修改</w:t>
      </w:r>
    </w:p>
    <w:p w14:paraId="4B7BDCFF">
      <w:pPr>
        <w:autoSpaceDE w:val="0"/>
        <w:autoSpaceDN w:val="0"/>
        <w:adjustRightInd w:val="0"/>
        <w:spacing w:line="360" w:lineRule="auto"/>
        <w:ind w:firstLine="480" w:firstLineChars="200"/>
        <w:rPr>
          <w:rFonts w:hint="eastAsia" w:ascii="宋体" w:hAnsi="宋体" w:cs="宋体"/>
          <w:color w:val="000000"/>
          <w:sz w:val="24"/>
          <w:szCs w:val="24"/>
          <w:lang w:val="zh-CN"/>
        </w:rPr>
      </w:pPr>
      <w:r>
        <w:rPr>
          <w:rFonts w:hint="eastAsia" w:ascii="宋体" w:hAnsi="宋体" w:cs="宋体"/>
          <w:color w:val="000000"/>
          <w:sz w:val="24"/>
          <w:szCs w:val="24"/>
          <w:lang w:val="zh-CN"/>
        </w:rPr>
        <w:t>8.1 采购人或采购代理机构对已发出的招标文件进行必要澄清或者修改的，将在原公告发布媒体上发布更正公告，并以书面形式通知所有获取招标文件的潜在投标人。</w:t>
      </w:r>
    </w:p>
    <w:p w14:paraId="69DA0BC2">
      <w:pPr>
        <w:autoSpaceDE w:val="0"/>
        <w:autoSpaceDN w:val="0"/>
        <w:adjustRightInd w:val="0"/>
        <w:spacing w:line="360" w:lineRule="auto"/>
        <w:ind w:firstLine="480" w:firstLineChars="200"/>
        <w:rPr>
          <w:rFonts w:hint="eastAsia" w:ascii="宋体" w:hAnsi="宋体" w:cs="宋体"/>
          <w:color w:val="000000"/>
          <w:sz w:val="24"/>
          <w:szCs w:val="24"/>
          <w:lang w:val="zh-CN"/>
        </w:rPr>
      </w:pPr>
      <w:r>
        <w:rPr>
          <w:rFonts w:hint="eastAsia" w:ascii="宋体" w:hAnsi="宋体" w:cs="宋体"/>
          <w:color w:val="000000"/>
          <w:sz w:val="24"/>
          <w:szCs w:val="24"/>
          <w:lang w:val="zh-CN"/>
        </w:rPr>
        <w:t>8.2 上述书面通知，按照获取招标文件的潜在投标人</w:t>
      </w:r>
      <w:r>
        <w:rPr>
          <w:rFonts w:hint="eastAsia" w:ascii="宋体" w:hAnsi="宋体" w:cs="宋体"/>
          <w:color w:val="000000"/>
          <w:sz w:val="24"/>
          <w:szCs w:val="24"/>
        </w:rPr>
        <w:t>提</w:t>
      </w:r>
      <w:r>
        <w:rPr>
          <w:rFonts w:hint="eastAsia" w:ascii="宋体" w:hAnsi="宋体" w:cs="宋体"/>
          <w:color w:val="000000"/>
          <w:sz w:val="24"/>
          <w:szCs w:val="24"/>
          <w:lang w:val="zh-CN"/>
        </w:rPr>
        <w:t>供的联系方式发出，因</w:t>
      </w:r>
      <w:r>
        <w:rPr>
          <w:rFonts w:hint="eastAsia" w:ascii="宋体" w:hAnsi="宋体" w:cs="宋体"/>
          <w:color w:val="000000"/>
          <w:sz w:val="24"/>
          <w:szCs w:val="24"/>
        </w:rPr>
        <w:t>提</w:t>
      </w:r>
      <w:r>
        <w:rPr>
          <w:rFonts w:hint="eastAsia" w:ascii="宋体" w:hAnsi="宋体" w:cs="宋体"/>
          <w:color w:val="000000"/>
          <w:sz w:val="24"/>
          <w:szCs w:val="24"/>
          <w:lang w:val="zh-CN"/>
        </w:rPr>
        <w:t xml:space="preserve">供的信息有误导致通知延迟或无法通知的，采购人或采购代理机构不承担责任。 </w:t>
      </w:r>
    </w:p>
    <w:p w14:paraId="6D020B9B">
      <w:pPr>
        <w:autoSpaceDE w:val="0"/>
        <w:autoSpaceDN w:val="0"/>
        <w:adjustRightInd w:val="0"/>
        <w:spacing w:line="360" w:lineRule="auto"/>
        <w:ind w:firstLine="480" w:firstLineChars="200"/>
        <w:rPr>
          <w:rFonts w:hint="eastAsia" w:ascii="宋体" w:hAnsi="宋体" w:cs="宋体"/>
          <w:color w:val="000000"/>
          <w:sz w:val="24"/>
          <w:szCs w:val="24"/>
          <w:lang w:val="zh-CN"/>
        </w:rPr>
      </w:pPr>
      <w:r>
        <w:rPr>
          <w:rFonts w:hint="eastAsia" w:ascii="宋体" w:hAnsi="宋体" w:cs="宋体"/>
          <w:color w:val="000000"/>
          <w:sz w:val="24"/>
          <w:szCs w:val="24"/>
          <w:lang w:val="zh-CN"/>
        </w:rPr>
        <w:t>8.3 澄清或者修改的内容为招标文件的组成部分，并对所有获取招标文件的潜在投标人具有约束力。澄清或者修改的内容可能影响投标文件编制的，将在投标截止时间至少 15 日前，以书面形式通知所有获取招标文件的潜在投标人；不足 15 日的，将顺延</w:t>
      </w:r>
      <w:r>
        <w:rPr>
          <w:rFonts w:hint="eastAsia" w:ascii="宋体" w:hAnsi="宋体" w:cs="宋体"/>
          <w:color w:val="000000"/>
          <w:sz w:val="24"/>
          <w:szCs w:val="24"/>
        </w:rPr>
        <w:t>提</w:t>
      </w:r>
      <w:r>
        <w:rPr>
          <w:rFonts w:hint="eastAsia" w:ascii="宋体" w:hAnsi="宋体" w:cs="宋体"/>
          <w:color w:val="000000"/>
          <w:sz w:val="24"/>
          <w:szCs w:val="24"/>
          <w:lang w:val="zh-CN"/>
        </w:rPr>
        <w:t>交投标文件的截止时间和开标时间。</w:t>
      </w:r>
    </w:p>
    <w:p w14:paraId="02843C5D">
      <w:pPr>
        <w:autoSpaceDE w:val="0"/>
        <w:autoSpaceDN w:val="0"/>
        <w:adjustRightInd w:val="0"/>
        <w:spacing w:line="360" w:lineRule="auto"/>
        <w:ind w:firstLine="482"/>
        <w:rPr>
          <w:rFonts w:hint="eastAsia" w:ascii="宋体" w:hAnsi="宋体" w:cs="宋体"/>
          <w:b/>
          <w:color w:val="000000"/>
          <w:sz w:val="24"/>
          <w:szCs w:val="24"/>
          <w:lang w:val="zh-CN"/>
        </w:rPr>
      </w:pPr>
      <w:r>
        <w:rPr>
          <w:rFonts w:hint="eastAsia" w:ascii="宋体" w:hAnsi="宋体" w:cs="宋体"/>
          <w:b/>
          <w:color w:val="000000"/>
          <w:sz w:val="24"/>
          <w:szCs w:val="24"/>
        </w:rPr>
        <w:t>9</w:t>
      </w:r>
      <w:r>
        <w:rPr>
          <w:rFonts w:hint="eastAsia" w:ascii="宋体" w:hAnsi="宋体" w:cs="宋体"/>
          <w:b/>
          <w:color w:val="000000"/>
          <w:sz w:val="24"/>
          <w:szCs w:val="24"/>
          <w:lang w:val="zh-CN"/>
        </w:rPr>
        <w:t>. 投标文件构成：</w:t>
      </w:r>
    </w:p>
    <w:p w14:paraId="260C636D">
      <w:pPr>
        <w:tabs>
          <w:tab w:val="left" w:pos="709"/>
        </w:tabs>
        <w:autoSpaceDE w:val="0"/>
        <w:autoSpaceDN w:val="0"/>
        <w:adjustRightInd w:val="0"/>
        <w:spacing w:line="360" w:lineRule="auto"/>
        <w:ind w:firstLine="480"/>
        <w:rPr>
          <w:rFonts w:hint="eastAsia" w:ascii="宋体" w:hAnsi="宋体" w:cs="宋体"/>
          <w:color w:val="000000"/>
          <w:kern w:val="0"/>
          <w:sz w:val="24"/>
          <w:szCs w:val="24"/>
          <w:lang w:val="zh-CN"/>
        </w:rPr>
      </w:pPr>
      <w:r>
        <w:rPr>
          <w:rFonts w:hint="eastAsia" w:ascii="宋体" w:hAnsi="宋体" w:cs="宋体"/>
          <w:color w:val="000000"/>
          <w:kern w:val="0"/>
          <w:sz w:val="24"/>
          <w:szCs w:val="24"/>
        </w:rPr>
        <w:t>9</w:t>
      </w:r>
      <w:r>
        <w:rPr>
          <w:rFonts w:hint="eastAsia" w:ascii="宋体" w:hAnsi="宋体" w:cs="宋体"/>
          <w:color w:val="000000"/>
          <w:kern w:val="0"/>
          <w:sz w:val="24"/>
          <w:szCs w:val="24"/>
          <w:lang w:val="zh-CN"/>
        </w:rPr>
        <w:t>.</w:t>
      </w:r>
      <w:r>
        <w:rPr>
          <w:rFonts w:hint="eastAsia" w:ascii="宋体" w:hAnsi="宋体" w:cs="宋体"/>
          <w:color w:val="000000"/>
          <w:kern w:val="0"/>
          <w:sz w:val="24"/>
          <w:szCs w:val="24"/>
        </w:rPr>
        <w:t>1</w:t>
      </w:r>
      <w:r>
        <w:rPr>
          <w:rFonts w:hint="eastAsia" w:ascii="宋体" w:hAnsi="宋体" w:cs="宋体"/>
          <w:color w:val="000000"/>
          <w:kern w:val="0"/>
          <w:sz w:val="24"/>
          <w:szCs w:val="24"/>
          <w:lang w:val="zh-CN"/>
        </w:rPr>
        <w:t xml:space="preserve"> 投标人应提交本招标文件第</w:t>
      </w:r>
      <w:r>
        <w:rPr>
          <w:rFonts w:hint="eastAsia" w:ascii="宋体" w:hAnsi="宋体" w:cs="宋体"/>
          <w:color w:val="000000"/>
          <w:kern w:val="0"/>
          <w:sz w:val="24"/>
          <w:szCs w:val="24"/>
        </w:rPr>
        <w:t>六</w:t>
      </w:r>
      <w:r>
        <w:rPr>
          <w:rFonts w:hint="eastAsia" w:ascii="宋体" w:hAnsi="宋体" w:cs="宋体"/>
          <w:color w:val="000000"/>
          <w:kern w:val="0"/>
          <w:sz w:val="24"/>
          <w:szCs w:val="24"/>
          <w:lang w:val="zh-CN"/>
        </w:rPr>
        <w:t>章</w:t>
      </w:r>
      <w:r>
        <w:rPr>
          <w:rFonts w:hint="eastAsia" w:ascii="宋体" w:hAnsi="宋体" w:cs="宋体"/>
          <w:color w:val="000000"/>
          <w:sz w:val="24"/>
          <w:szCs w:val="24"/>
          <w:lang w:val="zh-CN"/>
        </w:rPr>
        <w:t>《投标文件构成、要求及格式》</w:t>
      </w:r>
      <w:r>
        <w:rPr>
          <w:rFonts w:hint="eastAsia" w:ascii="宋体" w:hAnsi="宋体" w:cs="宋体"/>
          <w:color w:val="000000"/>
          <w:kern w:val="0"/>
          <w:sz w:val="24"/>
          <w:szCs w:val="24"/>
          <w:lang w:val="zh-CN"/>
        </w:rPr>
        <w:t>规定的全部</w:t>
      </w:r>
      <w:r>
        <w:rPr>
          <w:rFonts w:hint="eastAsia" w:ascii="宋体" w:hAnsi="宋体" w:cs="宋体"/>
          <w:bCs/>
          <w:color w:val="000000"/>
          <w:sz w:val="24"/>
          <w:szCs w:val="24"/>
          <w:lang w:val="zh-CN"/>
        </w:rPr>
        <w:t>资格审查文件部分、商务</w:t>
      </w:r>
      <w:r>
        <w:rPr>
          <w:rFonts w:hint="eastAsia" w:ascii="宋体" w:hAnsi="宋体" w:cs="宋体"/>
          <w:bCs/>
          <w:color w:val="000000"/>
          <w:sz w:val="24"/>
          <w:szCs w:val="24"/>
        </w:rPr>
        <w:t>和</w:t>
      </w:r>
      <w:r>
        <w:rPr>
          <w:rFonts w:hint="eastAsia" w:ascii="宋体" w:hAnsi="宋体" w:cs="宋体"/>
          <w:bCs/>
          <w:color w:val="000000"/>
          <w:sz w:val="24"/>
          <w:szCs w:val="24"/>
          <w:lang w:val="zh-CN"/>
        </w:rPr>
        <w:t>技术部分</w:t>
      </w:r>
      <w:r>
        <w:rPr>
          <w:rFonts w:hint="eastAsia" w:ascii="宋体" w:hAnsi="宋体" w:cs="宋体"/>
          <w:color w:val="000000"/>
          <w:kern w:val="0"/>
          <w:sz w:val="24"/>
          <w:szCs w:val="24"/>
          <w:lang w:val="zh-CN"/>
        </w:rPr>
        <w:t>，若有缺失、无效或者不符合招标文件要求，将导致其投标被拒绝。</w:t>
      </w:r>
    </w:p>
    <w:p w14:paraId="444F0373">
      <w:pPr>
        <w:tabs>
          <w:tab w:val="left" w:pos="709"/>
        </w:tabs>
        <w:autoSpaceDE w:val="0"/>
        <w:autoSpaceDN w:val="0"/>
        <w:adjustRightInd w:val="0"/>
        <w:spacing w:line="360" w:lineRule="auto"/>
        <w:ind w:firstLine="480"/>
        <w:rPr>
          <w:rFonts w:hint="eastAsia" w:ascii="宋体" w:hAnsi="宋体" w:cs="宋体"/>
          <w:color w:val="000000"/>
          <w:kern w:val="0"/>
          <w:sz w:val="24"/>
          <w:szCs w:val="24"/>
          <w:lang w:val="zh-CN"/>
        </w:rPr>
      </w:pPr>
      <w:r>
        <w:rPr>
          <w:rFonts w:hint="eastAsia" w:ascii="宋体" w:hAnsi="宋体" w:cs="宋体"/>
          <w:color w:val="000000"/>
          <w:kern w:val="0"/>
          <w:sz w:val="24"/>
          <w:szCs w:val="24"/>
        </w:rPr>
        <w:t>9</w:t>
      </w:r>
      <w:r>
        <w:rPr>
          <w:rFonts w:hint="eastAsia" w:ascii="宋体" w:hAnsi="宋体" w:cs="宋体"/>
          <w:color w:val="000000"/>
          <w:kern w:val="0"/>
          <w:sz w:val="24"/>
          <w:szCs w:val="24"/>
          <w:lang w:val="zh-CN"/>
        </w:rPr>
        <w:t>.</w:t>
      </w:r>
      <w:r>
        <w:rPr>
          <w:rFonts w:hint="eastAsia" w:ascii="宋体" w:hAnsi="宋体" w:cs="宋体"/>
          <w:color w:val="000000"/>
          <w:kern w:val="0"/>
          <w:sz w:val="24"/>
          <w:szCs w:val="24"/>
        </w:rPr>
        <w:t>2</w:t>
      </w:r>
      <w:r>
        <w:rPr>
          <w:rFonts w:hint="eastAsia" w:ascii="宋体" w:hAnsi="宋体" w:cs="宋体"/>
          <w:color w:val="000000"/>
          <w:kern w:val="0"/>
          <w:sz w:val="24"/>
          <w:szCs w:val="24"/>
          <w:lang w:val="zh-CN"/>
        </w:rPr>
        <w:t xml:space="preserve"> </w:t>
      </w:r>
      <w:r>
        <w:rPr>
          <w:rFonts w:hint="eastAsia" w:ascii="宋体" w:hAnsi="宋体" w:cs="宋体"/>
          <w:color w:val="000000"/>
          <w:kern w:val="0"/>
          <w:sz w:val="24"/>
          <w:szCs w:val="24"/>
        </w:rPr>
        <w:t>按</w:t>
      </w:r>
      <w:r>
        <w:rPr>
          <w:rFonts w:hint="eastAsia" w:ascii="宋体" w:hAnsi="宋体" w:cs="宋体"/>
          <w:color w:val="000000"/>
          <w:kern w:val="0"/>
          <w:sz w:val="24"/>
          <w:szCs w:val="24"/>
          <w:lang w:val="zh-CN"/>
        </w:rPr>
        <w:t>第二章《投标人须知》要求提交的投标保证金。</w:t>
      </w:r>
    </w:p>
    <w:p w14:paraId="26441BC2">
      <w:pPr>
        <w:autoSpaceDE w:val="0"/>
        <w:autoSpaceDN w:val="0"/>
        <w:adjustRightInd w:val="0"/>
        <w:spacing w:line="360" w:lineRule="auto"/>
        <w:ind w:firstLine="482"/>
        <w:rPr>
          <w:rFonts w:hint="eastAsia" w:ascii="宋体" w:hAnsi="宋体" w:cs="宋体"/>
          <w:b/>
          <w:color w:val="000000"/>
          <w:sz w:val="24"/>
          <w:szCs w:val="24"/>
          <w:lang w:val="zh-CN"/>
        </w:rPr>
      </w:pPr>
      <w:r>
        <w:rPr>
          <w:rFonts w:hint="eastAsia" w:ascii="宋体" w:hAnsi="宋体" w:cs="宋体"/>
          <w:b/>
          <w:color w:val="000000"/>
          <w:sz w:val="24"/>
          <w:szCs w:val="24"/>
        </w:rPr>
        <w:t>10</w:t>
      </w:r>
      <w:r>
        <w:rPr>
          <w:rFonts w:hint="eastAsia" w:ascii="宋体" w:hAnsi="宋体" w:cs="宋体"/>
          <w:b/>
          <w:color w:val="000000"/>
          <w:sz w:val="24"/>
          <w:szCs w:val="24"/>
          <w:lang w:val="zh-CN"/>
        </w:rPr>
        <w:t>. 投标文件的编制</w:t>
      </w:r>
    </w:p>
    <w:p w14:paraId="1DE9B82C">
      <w:pPr>
        <w:autoSpaceDE w:val="0"/>
        <w:autoSpaceDN w:val="0"/>
        <w:adjustRightInd w:val="0"/>
        <w:spacing w:line="360" w:lineRule="auto"/>
        <w:ind w:firstLine="480"/>
        <w:rPr>
          <w:rFonts w:hint="eastAsia" w:ascii="宋体" w:hAnsi="宋体" w:cs="宋体"/>
          <w:color w:val="000000"/>
          <w:sz w:val="24"/>
          <w:szCs w:val="24"/>
          <w:lang w:val="zh-CN"/>
        </w:rPr>
      </w:pPr>
      <w:r>
        <w:rPr>
          <w:rFonts w:hint="eastAsia" w:ascii="宋体" w:hAnsi="宋体" w:cs="宋体"/>
          <w:color w:val="000000"/>
          <w:sz w:val="24"/>
          <w:szCs w:val="24"/>
        </w:rPr>
        <w:t>10</w:t>
      </w:r>
      <w:r>
        <w:rPr>
          <w:rFonts w:hint="eastAsia" w:ascii="宋体" w:hAnsi="宋体" w:cs="宋体"/>
          <w:color w:val="000000"/>
          <w:sz w:val="24"/>
          <w:szCs w:val="24"/>
          <w:lang w:val="zh-CN"/>
        </w:rPr>
        <w:t xml:space="preserve">.1 投标语言：投标文件以及投标人与采购人就有关投标的来往函电均使用中文。 </w:t>
      </w:r>
    </w:p>
    <w:p w14:paraId="2A4B2988">
      <w:pPr>
        <w:autoSpaceDE w:val="0"/>
        <w:autoSpaceDN w:val="0"/>
        <w:adjustRightInd w:val="0"/>
        <w:spacing w:line="360" w:lineRule="auto"/>
        <w:ind w:firstLine="480"/>
        <w:rPr>
          <w:rFonts w:hint="eastAsia" w:ascii="宋体" w:hAnsi="宋体" w:cs="宋体"/>
          <w:color w:val="000000"/>
          <w:sz w:val="24"/>
          <w:szCs w:val="24"/>
          <w:lang w:val="zh-CN"/>
        </w:rPr>
      </w:pPr>
      <w:r>
        <w:rPr>
          <w:rFonts w:hint="eastAsia" w:ascii="宋体" w:hAnsi="宋体" w:cs="宋体"/>
          <w:color w:val="000000"/>
          <w:sz w:val="24"/>
          <w:szCs w:val="24"/>
        </w:rPr>
        <w:t>10</w:t>
      </w:r>
      <w:r>
        <w:rPr>
          <w:rFonts w:hint="eastAsia" w:ascii="宋体" w:hAnsi="宋体" w:cs="宋体"/>
          <w:color w:val="000000"/>
          <w:sz w:val="24"/>
          <w:szCs w:val="24"/>
          <w:lang w:val="zh-CN"/>
        </w:rPr>
        <w:t>.2 计量单位：中华人民共和国法定计量单位。</w:t>
      </w:r>
    </w:p>
    <w:p w14:paraId="20850D11">
      <w:pPr>
        <w:autoSpaceDE w:val="0"/>
        <w:autoSpaceDN w:val="0"/>
        <w:adjustRightInd w:val="0"/>
        <w:spacing w:line="360" w:lineRule="auto"/>
        <w:ind w:firstLine="480"/>
        <w:rPr>
          <w:rFonts w:hint="eastAsia" w:ascii="宋体" w:hAnsi="宋体" w:cs="宋体"/>
          <w:color w:val="000000"/>
          <w:sz w:val="24"/>
          <w:szCs w:val="24"/>
          <w:lang w:val="zh-CN"/>
        </w:rPr>
      </w:pPr>
      <w:r>
        <w:rPr>
          <w:rFonts w:hint="eastAsia" w:ascii="宋体" w:hAnsi="宋体" w:cs="宋体"/>
          <w:color w:val="000000"/>
          <w:sz w:val="24"/>
          <w:szCs w:val="24"/>
        </w:rPr>
        <w:t>10</w:t>
      </w:r>
      <w:r>
        <w:rPr>
          <w:rFonts w:hint="eastAsia" w:ascii="宋体" w:hAnsi="宋体" w:cs="宋体"/>
          <w:color w:val="000000"/>
          <w:sz w:val="24"/>
          <w:szCs w:val="24"/>
          <w:lang w:val="zh-CN"/>
        </w:rPr>
        <w:t xml:space="preserve">.3 投标文件的编写（采用电子招标的，以政采云平台以及采购文件要求为准） </w:t>
      </w:r>
    </w:p>
    <w:p w14:paraId="2B5303AB">
      <w:pPr>
        <w:autoSpaceDE w:val="0"/>
        <w:autoSpaceDN w:val="0"/>
        <w:adjustRightInd w:val="0"/>
        <w:spacing w:line="360" w:lineRule="auto"/>
        <w:ind w:firstLine="1024" w:firstLineChars="427"/>
        <w:rPr>
          <w:rFonts w:hint="eastAsia" w:ascii="宋体" w:hAnsi="宋体" w:cs="宋体"/>
          <w:color w:val="000000"/>
          <w:sz w:val="24"/>
          <w:szCs w:val="24"/>
          <w:lang w:val="zh-CN"/>
        </w:rPr>
      </w:pPr>
      <w:r>
        <w:rPr>
          <w:rFonts w:hint="eastAsia" w:ascii="宋体" w:hAnsi="宋体" w:cs="宋体"/>
          <w:color w:val="000000"/>
          <w:sz w:val="24"/>
          <w:szCs w:val="24"/>
        </w:rPr>
        <w:t>10.3.</w:t>
      </w:r>
      <w:r>
        <w:rPr>
          <w:rFonts w:hint="eastAsia" w:ascii="宋体" w:hAnsi="宋体" w:cs="宋体"/>
          <w:color w:val="000000"/>
          <w:sz w:val="24"/>
          <w:szCs w:val="24"/>
          <w:lang w:val="zh-CN"/>
        </w:rPr>
        <w:t xml:space="preserve">1.供应商应按照招标文件提供的投标文件格式编制电子投标文件。供应商投报多个采购包的，供应商应当按采购包分别编制独立的投标文件，并按采购包分别提交（上传）投标文件。 </w:t>
      </w:r>
    </w:p>
    <w:p w14:paraId="2AC07D55">
      <w:pPr>
        <w:autoSpaceDE w:val="0"/>
        <w:autoSpaceDN w:val="0"/>
        <w:adjustRightInd w:val="0"/>
        <w:spacing w:line="360" w:lineRule="auto"/>
        <w:ind w:firstLine="1024" w:firstLineChars="427"/>
        <w:rPr>
          <w:rFonts w:hint="eastAsia" w:ascii="宋体" w:hAnsi="宋体" w:cs="宋体"/>
          <w:color w:val="000000"/>
          <w:sz w:val="24"/>
          <w:szCs w:val="24"/>
          <w:lang w:val="zh-CN"/>
        </w:rPr>
      </w:pPr>
      <w:r>
        <w:rPr>
          <w:rFonts w:hint="eastAsia" w:ascii="宋体" w:hAnsi="宋体" w:cs="宋体"/>
          <w:color w:val="000000"/>
          <w:sz w:val="24"/>
          <w:szCs w:val="24"/>
        </w:rPr>
        <w:t>10.3.</w:t>
      </w:r>
      <w:r>
        <w:rPr>
          <w:rFonts w:hint="eastAsia" w:ascii="宋体" w:hAnsi="宋体" w:cs="宋体"/>
          <w:color w:val="000000"/>
          <w:sz w:val="24"/>
          <w:szCs w:val="24"/>
          <w:lang w:val="zh-CN"/>
        </w:rPr>
        <w:t xml:space="preserve">2.投标人必须对投标文件所提供的全部资料的真实性承担法律责任。 </w:t>
      </w:r>
    </w:p>
    <w:p w14:paraId="3594E0EC">
      <w:pPr>
        <w:autoSpaceDE w:val="0"/>
        <w:autoSpaceDN w:val="0"/>
        <w:adjustRightInd w:val="0"/>
        <w:spacing w:line="360" w:lineRule="auto"/>
        <w:ind w:firstLine="1024" w:firstLineChars="427"/>
        <w:rPr>
          <w:rFonts w:hint="eastAsia" w:ascii="宋体" w:hAnsi="宋体" w:cs="宋体"/>
          <w:color w:val="000000"/>
          <w:sz w:val="24"/>
          <w:szCs w:val="24"/>
          <w:lang w:val="zh-CN"/>
        </w:rPr>
      </w:pPr>
      <w:r>
        <w:rPr>
          <w:rFonts w:hint="eastAsia" w:ascii="宋体" w:hAnsi="宋体" w:cs="宋体"/>
          <w:color w:val="000000"/>
          <w:sz w:val="24"/>
          <w:szCs w:val="24"/>
        </w:rPr>
        <w:t>10.3.</w:t>
      </w:r>
      <w:r>
        <w:rPr>
          <w:rFonts w:hint="eastAsia" w:ascii="宋体" w:hAnsi="宋体" w:cs="宋体"/>
          <w:color w:val="000000"/>
          <w:sz w:val="24"/>
          <w:szCs w:val="24"/>
          <w:lang w:val="zh-CN"/>
        </w:rPr>
        <w:t>3.投标人应认真阅读招标文件中所有的事项、格式、条款和技术要求等，并按照招标文件的要求编制投标文件。若投标人不按照招标文件要求编制投标文件，由此产生的风险由投标人自己承担。</w:t>
      </w:r>
    </w:p>
    <w:p w14:paraId="2B859CAC">
      <w:pPr>
        <w:autoSpaceDE w:val="0"/>
        <w:autoSpaceDN w:val="0"/>
        <w:adjustRightInd w:val="0"/>
        <w:spacing w:line="360" w:lineRule="auto"/>
        <w:ind w:firstLine="482"/>
        <w:rPr>
          <w:rFonts w:hint="eastAsia" w:ascii="宋体" w:hAnsi="宋体" w:cs="宋体"/>
          <w:b/>
          <w:color w:val="000000"/>
          <w:sz w:val="24"/>
          <w:szCs w:val="24"/>
          <w:lang w:val="zh-CN"/>
        </w:rPr>
      </w:pPr>
      <w:r>
        <w:rPr>
          <w:rFonts w:hint="eastAsia" w:ascii="宋体" w:hAnsi="宋体" w:cs="宋体"/>
          <w:b/>
          <w:color w:val="000000"/>
          <w:sz w:val="24"/>
          <w:szCs w:val="24"/>
          <w:lang w:val="zh-CN"/>
        </w:rPr>
        <w:t>1</w:t>
      </w:r>
      <w:r>
        <w:rPr>
          <w:rFonts w:hint="eastAsia" w:ascii="宋体" w:hAnsi="宋体" w:cs="宋体"/>
          <w:b/>
          <w:color w:val="000000"/>
          <w:sz w:val="24"/>
          <w:szCs w:val="24"/>
        </w:rPr>
        <w:t>1</w:t>
      </w:r>
      <w:r>
        <w:rPr>
          <w:rFonts w:hint="eastAsia" w:ascii="宋体" w:hAnsi="宋体" w:cs="宋体"/>
          <w:b/>
          <w:color w:val="000000"/>
          <w:sz w:val="24"/>
          <w:szCs w:val="24"/>
          <w:lang w:val="zh-CN"/>
        </w:rPr>
        <w:t>. 投标报价</w:t>
      </w:r>
    </w:p>
    <w:p w14:paraId="3FD82B48">
      <w:pPr>
        <w:autoSpaceDE w:val="0"/>
        <w:autoSpaceDN w:val="0"/>
        <w:adjustRightInd w:val="0"/>
        <w:spacing w:line="360" w:lineRule="auto"/>
        <w:ind w:firstLine="480"/>
        <w:rPr>
          <w:rFonts w:hint="eastAsia" w:ascii="宋体" w:hAnsi="宋体" w:cs="宋体"/>
          <w:color w:val="000000"/>
          <w:sz w:val="24"/>
          <w:szCs w:val="24"/>
          <w:lang w:val="zh-CN"/>
        </w:rPr>
      </w:pPr>
      <w:r>
        <w:rPr>
          <w:rFonts w:hint="eastAsia" w:ascii="宋体" w:hAnsi="宋体" w:cs="宋体"/>
          <w:color w:val="000000"/>
          <w:sz w:val="24"/>
          <w:szCs w:val="24"/>
          <w:lang w:val="zh-CN"/>
        </w:rPr>
        <w:t>1</w:t>
      </w:r>
      <w:r>
        <w:rPr>
          <w:rFonts w:hint="eastAsia" w:ascii="宋体" w:hAnsi="宋体" w:cs="宋体"/>
          <w:color w:val="000000"/>
          <w:sz w:val="24"/>
          <w:szCs w:val="24"/>
        </w:rPr>
        <w:t>1</w:t>
      </w:r>
      <w:r>
        <w:rPr>
          <w:rFonts w:hint="eastAsia" w:ascii="宋体" w:hAnsi="宋体" w:cs="宋体"/>
          <w:color w:val="000000"/>
          <w:sz w:val="24"/>
          <w:szCs w:val="24"/>
          <w:lang w:val="zh-CN"/>
        </w:rPr>
        <w:t>.1投标人的投标报价应在控制范围内，超出此范围的投标报价为废标。投标货币：所有投标报价均以人民币元为计算单位。</w:t>
      </w:r>
    </w:p>
    <w:p w14:paraId="630136DB">
      <w:pPr>
        <w:autoSpaceDE w:val="0"/>
        <w:autoSpaceDN w:val="0"/>
        <w:adjustRightInd w:val="0"/>
        <w:spacing w:line="360" w:lineRule="auto"/>
        <w:ind w:firstLine="482"/>
        <w:rPr>
          <w:rFonts w:hint="eastAsia" w:ascii="宋体" w:hAnsi="宋体" w:cs="宋体"/>
          <w:color w:val="000000"/>
          <w:sz w:val="24"/>
          <w:szCs w:val="24"/>
          <w:lang w:val="zh-CN"/>
        </w:rPr>
      </w:pPr>
      <w:r>
        <w:rPr>
          <w:rFonts w:hint="eastAsia" w:ascii="宋体" w:hAnsi="宋体" w:cs="宋体"/>
          <w:color w:val="000000"/>
          <w:sz w:val="24"/>
          <w:szCs w:val="24"/>
          <w:lang w:val="zh-CN"/>
        </w:rPr>
        <w:t>1</w:t>
      </w:r>
      <w:r>
        <w:rPr>
          <w:rFonts w:hint="eastAsia" w:ascii="宋体" w:hAnsi="宋体" w:cs="宋体"/>
          <w:color w:val="000000"/>
          <w:sz w:val="24"/>
          <w:szCs w:val="24"/>
        </w:rPr>
        <w:t>1</w:t>
      </w:r>
      <w:r>
        <w:rPr>
          <w:rFonts w:hint="eastAsia" w:ascii="宋体" w:hAnsi="宋体" w:cs="宋体"/>
          <w:color w:val="000000"/>
          <w:sz w:val="24"/>
          <w:szCs w:val="24"/>
          <w:lang w:val="zh-CN"/>
        </w:rPr>
        <w:t>.2投标人应一次性报出投标货物的单价和总价，每种货物只允许有一个报价，任何有选择的报价将不予接受。投标人所报价格应为在本招标文件中标合同指定地点供货、由投标人负责安装调试，经采购人验收合格后按合同规定支付货款。</w:t>
      </w:r>
    </w:p>
    <w:p w14:paraId="40A25742">
      <w:pPr>
        <w:autoSpaceDE w:val="0"/>
        <w:autoSpaceDN w:val="0"/>
        <w:adjustRightInd w:val="0"/>
        <w:spacing w:line="360" w:lineRule="auto"/>
        <w:ind w:firstLine="480"/>
        <w:rPr>
          <w:rFonts w:hint="eastAsia" w:ascii="宋体" w:hAnsi="宋体" w:cs="宋体"/>
          <w:color w:val="000000"/>
          <w:sz w:val="24"/>
          <w:szCs w:val="24"/>
          <w:lang w:val="zh-CN"/>
        </w:rPr>
      </w:pPr>
      <w:r>
        <w:rPr>
          <w:rFonts w:hint="eastAsia" w:ascii="宋体" w:hAnsi="宋体" w:cs="宋体"/>
          <w:color w:val="000000"/>
          <w:sz w:val="24"/>
          <w:szCs w:val="24"/>
          <w:lang w:val="zh-CN"/>
        </w:rPr>
        <w:t>1</w:t>
      </w:r>
      <w:r>
        <w:rPr>
          <w:rFonts w:hint="eastAsia" w:ascii="宋体" w:hAnsi="宋体" w:cs="宋体"/>
          <w:color w:val="000000"/>
          <w:sz w:val="24"/>
          <w:szCs w:val="24"/>
        </w:rPr>
        <w:t>1</w:t>
      </w:r>
      <w:r>
        <w:rPr>
          <w:rFonts w:hint="eastAsia" w:ascii="宋体" w:hAnsi="宋体" w:cs="宋体"/>
          <w:color w:val="000000"/>
          <w:sz w:val="24"/>
          <w:szCs w:val="24"/>
          <w:lang w:val="zh-CN"/>
        </w:rPr>
        <w:t>.3投标人所报的价格在合同执行过程中是固定不变的，不得以任何理由予以变更。以可调整的价格提交的投标将作为非响应性投标予以拒绝。</w:t>
      </w:r>
    </w:p>
    <w:p w14:paraId="2EFA67CD">
      <w:pPr>
        <w:autoSpaceDE w:val="0"/>
        <w:autoSpaceDN w:val="0"/>
        <w:adjustRightInd w:val="0"/>
        <w:spacing w:line="360" w:lineRule="auto"/>
        <w:ind w:firstLine="480"/>
        <w:rPr>
          <w:rFonts w:hint="eastAsia" w:ascii="宋体" w:hAnsi="宋体" w:cs="宋体"/>
          <w:color w:val="000000"/>
          <w:sz w:val="24"/>
          <w:szCs w:val="24"/>
          <w:lang w:val="zh-CN"/>
        </w:rPr>
      </w:pPr>
      <w:r>
        <w:rPr>
          <w:rFonts w:hint="eastAsia" w:ascii="宋体" w:hAnsi="宋体" w:cs="宋体"/>
          <w:color w:val="000000"/>
          <w:sz w:val="24"/>
          <w:szCs w:val="24"/>
          <w:lang w:val="zh-CN"/>
        </w:rPr>
        <w:t>1</w:t>
      </w:r>
      <w:r>
        <w:rPr>
          <w:rFonts w:hint="eastAsia" w:ascii="宋体" w:hAnsi="宋体" w:cs="宋体"/>
          <w:color w:val="000000"/>
          <w:sz w:val="24"/>
          <w:szCs w:val="24"/>
        </w:rPr>
        <w:t>1</w:t>
      </w:r>
      <w:r>
        <w:rPr>
          <w:rFonts w:hint="eastAsia" w:ascii="宋体" w:hAnsi="宋体" w:cs="宋体"/>
          <w:color w:val="000000"/>
          <w:sz w:val="24"/>
          <w:szCs w:val="24"/>
          <w:lang w:val="zh-CN"/>
        </w:rPr>
        <w:t>.4 最低报价不能作为中标的保证。</w:t>
      </w:r>
    </w:p>
    <w:p w14:paraId="576D01BB">
      <w:pPr>
        <w:autoSpaceDE w:val="0"/>
        <w:autoSpaceDN w:val="0"/>
        <w:adjustRightInd w:val="0"/>
        <w:spacing w:line="360" w:lineRule="auto"/>
        <w:ind w:firstLine="482"/>
        <w:rPr>
          <w:rFonts w:hint="eastAsia" w:ascii="宋体" w:hAnsi="宋体" w:cs="宋体"/>
          <w:b/>
          <w:color w:val="000000"/>
          <w:sz w:val="24"/>
          <w:szCs w:val="24"/>
          <w:lang w:val="zh-CN"/>
        </w:rPr>
      </w:pPr>
      <w:r>
        <w:rPr>
          <w:rFonts w:hint="eastAsia" w:ascii="宋体" w:hAnsi="宋体" w:cs="宋体"/>
          <w:b/>
          <w:color w:val="000000"/>
          <w:sz w:val="24"/>
          <w:szCs w:val="24"/>
          <w:lang w:val="zh-CN"/>
        </w:rPr>
        <w:t>1</w:t>
      </w:r>
      <w:r>
        <w:rPr>
          <w:rFonts w:hint="eastAsia" w:ascii="宋体" w:hAnsi="宋体" w:cs="宋体"/>
          <w:b/>
          <w:color w:val="000000"/>
          <w:sz w:val="24"/>
          <w:szCs w:val="24"/>
        </w:rPr>
        <w:t>2</w:t>
      </w:r>
      <w:r>
        <w:rPr>
          <w:rFonts w:hint="eastAsia" w:ascii="宋体" w:hAnsi="宋体" w:cs="宋体"/>
          <w:b/>
          <w:color w:val="000000"/>
          <w:sz w:val="24"/>
          <w:szCs w:val="24"/>
          <w:lang w:val="zh-CN"/>
        </w:rPr>
        <w:t>. 投标保证金</w:t>
      </w:r>
    </w:p>
    <w:p w14:paraId="0BE8501C">
      <w:pPr>
        <w:autoSpaceDE w:val="0"/>
        <w:autoSpaceDN w:val="0"/>
        <w:adjustRightInd w:val="0"/>
        <w:spacing w:line="360" w:lineRule="auto"/>
        <w:ind w:firstLine="480"/>
        <w:rPr>
          <w:rFonts w:hint="eastAsia" w:ascii="宋体" w:hAnsi="宋体" w:cs="宋体"/>
          <w:color w:val="000000"/>
          <w:sz w:val="24"/>
          <w:szCs w:val="24"/>
          <w:lang w:val="zh-CN"/>
        </w:rPr>
      </w:pPr>
      <w:r>
        <w:rPr>
          <w:rFonts w:hint="eastAsia" w:ascii="宋体" w:hAnsi="宋体" w:cs="宋体"/>
          <w:color w:val="000000"/>
          <w:sz w:val="24"/>
          <w:szCs w:val="24"/>
          <w:lang w:val="zh-CN"/>
        </w:rPr>
        <w:t>1</w:t>
      </w:r>
      <w:r>
        <w:rPr>
          <w:rFonts w:hint="eastAsia" w:ascii="宋体" w:hAnsi="宋体" w:cs="宋体"/>
          <w:color w:val="000000"/>
          <w:sz w:val="24"/>
          <w:szCs w:val="24"/>
        </w:rPr>
        <w:t>2</w:t>
      </w:r>
      <w:r>
        <w:rPr>
          <w:rFonts w:hint="eastAsia" w:ascii="宋体" w:hAnsi="宋体" w:cs="宋体"/>
          <w:color w:val="000000"/>
          <w:sz w:val="24"/>
          <w:szCs w:val="24"/>
          <w:lang w:val="zh-CN"/>
        </w:rPr>
        <w:t>.1投标人应</w:t>
      </w:r>
      <w:r>
        <w:rPr>
          <w:rFonts w:hint="eastAsia" w:ascii="宋体" w:hAnsi="宋体" w:cs="宋体"/>
          <w:color w:val="000000"/>
          <w:sz w:val="24"/>
          <w:szCs w:val="24"/>
        </w:rPr>
        <w:t>按</w:t>
      </w:r>
      <w:r>
        <w:rPr>
          <w:rFonts w:hint="eastAsia" w:ascii="宋体" w:hAnsi="宋体" w:cs="宋体"/>
          <w:color w:val="000000"/>
          <w:sz w:val="24"/>
          <w:szCs w:val="24"/>
          <w:lang w:val="zh-CN"/>
        </w:rPr>
        <w:t>招标文件所要求的</w:t>
      </w:r>
      <w:r>
        <w:rPr>
          <w:rFonts w:hint="eastAsia" w:ascii="宋体" w:hAnsi="宋体" w:cs="宋体"/>
          <w:color w:val="000000"/>
          <w:sz w:val="24"/>
          <w:szCs w:val="24"/>
        </w:rPr>
        <w:t>提交</w:t>
      </w:r>
      <w:r>
        <w:rPr>
          <w:rFonts w:hint="eastAsia" w:ascii="宋体" w:hAnsi="宋体" w:cs="宋体"/>
          <w:color w:val="000000"/>
          <w:sz w:val="24"/>
          <w:szCs w:val="24"/>
          <w:lang w:val="zh-CN"/>
        </w:rPr>
        <w:t>投标保证金。投标人须按照招标文件要求，在</w:t>
      </w:r>
      <w:r>
        <w:rPr>
          <w:rFonts w:hint="eastAsia" w:ascii="宋体" w:hAnsi="宋体" w:cs="宋体"/>
          <w:color w:val="000000"/>
          <w:sz w:val="24"/>
          <w:szCs w:val="24"/>
        </w:rPr>
        <w:t>投标截止时间前</w:t>
      </w:r>
      <w:r>
        <w:rPr>
          <w:rFonts w:hint="eastAsia" w:ascii="宋体" w:hAnsi="宋体" w:cs="宋体"/>
          <w:color w:val="000000"/>
          <w:sz w:val="24"/>
          <w:szCs w:val="24"/>
          <w:lang w:val="zh-CN"/>
        </w:rPr>
        <w:t>递交至采购代理机构。</w:t>
      </w:r>
    </w:p>
    <w:p w14:paraId="6A55E83C">
      <w:pPr>
        <w:autoSpaceDE w:val="0"/>
        <w:autoSpaceDN w:val="0"/>
        <w:adjustRightInd w:val="0"/>
        <w:spacing w:line="360" w:lineRule="auto"/>
        <w:ind w:firstLine="480"/>
        <w:rPr>
          <w:rFonts w:hint="eastAsia" w:ascii="宋体" w:hAnsi="宋体" w:cs="宋体"/>
          <w:color w:val="000000"/>
          <w:sz w:val="24"/>
          <w:szCs w:val="24"/>
          <w:lang w:val="zh-CN"/>
        </w:rPr>
      </w:pPr>
      <w:r>
        <w:rPr>
          <w:rFonts w:hint="eastAsia" w:ascii="宋体" w:hAnsi="宋体" w:cs="宋体"/>
          <w:color w:val="000000"/>
          <w:sz w:val="24"/>
          <w:szCs w:val="24"/>
          <w:lang w:val="zh-CN"/>
        </w:rPr>
        <w:t>1</w:t>
      </w:r>
      <w:r>
        <w:rPr>
          <w:rFonts w:hint="eastAsia" w:ascii="宋体" w:hAnsi="宋体" w:cs="宋体"/>
          <w:color w:val="000000"/>
          <w:sz w:val="24"/>
          <w:szCs w:val="24"/>
        </w:rPr>
        <w:t>2</w:t>
      </w:r>
      <w:r>
        <w:rPr>
          <w:rFonts w:hint="eastAsia" w:ascii="宋体" w:hAnsi="宋体" w:cs="宋体"/>
          <w:color w:val="000000"/>
          <w:sz w:val="24"/>
          <w:szCs w:val="24"/>
          <w:lang w:val="zh-CN"/>
        </w:rPr>
        <w:t>.2投标保证金是为了弥补采购人因投标人的违规行为而蒙受的损失。采购人在因投标人的违规行为而受到损害时，将不予退还投标人的投标保证金，并作为所受损害的补偿。</w:t>
      </w:r>
    </w:p>
    <w:p w14:paraId="7CBB2A1F">
      <w:pPr>
        <w:autoSpaceDE w:val="0"/>
        <w:autoSpaceDN w:val="0"/>
        <w:adjustRightInd w:val="0"/>
        <w:spacing w:line="360" w:lineRule="auto"/>
        <w:ind w:firstLine="480"/>
        <w:rPr>
          <w:rFonts w:hint="eastAsia" w:ascii="宋体" w:hAnsi="宋体" w:cs="宋体"/>
          <w:color w:val="000000"/>
          <w:sz w:val="24"/>
          <w:szCs w:val="24"/>
          <w:lang w:val="zh-CN"/>
        </w:rPr>
      </w:pPr>
      <w:r>
        <w:rPr>
          <w:rFonts w:hint="eastAsia" w:ascii="宋体" w:hAnsi="宋体" w:cs="宋体"/>
          <w:color w:val="000000"/>
          <w:sz w:val="24"/>
          <w:szCs w:val="24"/>
          <w:lang w:val="zh-CN"/>
        </w:rPr>
        <w:t>1</w:t>
      </w:r>
      <w:r>
        <w:rPr>
          <w:rFonts w:hint="eastAsia" w:ascii="宋体" w:hAnsi="宋体" w:cs="宋体"/>
          <w:color w:val="000000"/>
          <w:sz w:val="24"/>
          <w:szCs w:val="24"/>
        </w:rPr>
        <w:t>2</w:t>
      </w:r>
      <w:r>
        <w:rPr>
          <w:rFonts w:hint="eastAsia" w:ascii="宋体" w:hAnsi="宋体" w:cs="宋体"/>
          <w:color w:val="000000"/>
          <w:sz w:val="24"/>
          <w:szCs w:val="24"/>
          <w:lang w:val="zh-CN"/>
        </w:rPr>
        <w:t>.3投标保证金是投标文件的一个组成部分。在开标时，凡没有按规定提交投标保证金的投标，将被视为非响应性投标予以拒绝。</w:t>
      </w:r>
    </w:p>
    <w:p w14:paraId="334BEFC8">
      <w:pPr>
        <w:autoSpaceDE w:val="0"/>
        <w:autoSpaceDN w:val="0"/>
        <w:adjustRightInd w:val="0"/>
        <w:spacing w:line="360" w:lineRule="auto"/>
        <w:ind w:firstLine="480"/>
        <w:rPr>
          <w:rFonts w:hint="eastAsia" w:ascii="宋体" w:hAnsi="宋体" w:cs="宋体"/>
          <w:color w:val="000000"/>
          <w:sz w:val="24"/>
          <w:szCs w:val="24"/>
          <w:lang w:val="zh-CN"/>
        </w:rPr>
      </w:pPr>
      <w:r>
        <w:rPr>
          <w:rFonts w:hint="eastAsia" w:ascii="宋体" w:hAnsi="宋体" w:cs="宋体"/>
          <w:color w:val="000000"/>
          <w:sz w:val="24"/>
          <w:szCs w:val="24"/>
          <w:lang w:val="zh-CN"/>
        </w:rPr>
        <w:t>1</w:t>
      </w:r>
      <w:r>
        <w:rPr>
          <w:rFonts w:hint="eastAsia" w:ascii="宋体" w:hAnsi="宋体" w:cs="宋体"/>
          <w:color w:val="000000"/>
          <w:sz w:val="24"/>
          <w:szCs w:val="24"/>
        </w:rPr>
        <w:t>2</w:t>
      </w:r>
      <w:r>
        <w:rPr>
          <w:rFonts w:hint="eastAsia" w:ascii="宋体" w:hAnsi="宋体" w:cs="宋体"/>
          <w:color w:val="000000"/>
          <w:sz w:val="24"/>
          <w:szCs w:val="24"/>
          <w:lang w:val="zh-CN"/>
        </w:rPr>
        <w:t>.4</w:t>
      </w:r>
      <w:r>
        <w:rPr>
          <w:rFonts w:hint="eastAsia" w:ascii="宋体" w:hAnsi="宋体" w:cs="宋体"/>
          <w:color w:val="000000"/>
          <w:sz w:val="24"/>
          <w:szCs w:val="24"/>
        </w:rPr>
        <w:t>采购人或者采购代理机构应当在采购活动结束后及时退还供应商的保证金，但因供应商自身原因导致无法及时退还的除外。未中标供应商的保证金应当在中标通知书发出后5个工作日内退还，中标供应商的保证金应当在采购合同签订后5个工作日内退还，不计利息。</w:t>
      </w:r>
    </w:p>
    <w:p w14:paraId="033AA3B3">
      <w:pPr>
        <w:autoSpaceDE w:val="0"/>
        <w:autoSpaceDN w:val="0"/>
        <w:adjustRightInd w:val="0"/>
        <w:spacing w:line="360" w:lineRule="auto"/>
        <w:ind w:firstLine="480"/>
        <w:rPr>
          <w:rFonts w:hint="eastAsia" w:ascii="宋体" w:hAnsi="宋体" w:cs="宋体"/>
          <w:color w:val="000000"/>
          <w:sz w:val="24"/>
          <w:szCs w:val="24"/>
          <w:lang w:val="zh-CN"/>
        </w:rPr>
      </w:pPr>
      <w:r>
        <w:rPr>
          <w:rFonts w:hint="eastAsia" w:ascii="宋体" w:hAnsi="宋体" w:cs="宋体"/>
          <w:color w:val="000000"/>
          <w:sz w:val="24"/>
          <w:szCs w:val="24"/>
          <w:lang w:val="zh-CN"/>
        </w:rPr>
        <w:t>1</w:t>
      </w:r>
      <w:r>
        <w:rPr>
          <w:rFonts w:hint="eastAsia" w:ascii="宋体" w:hAnsi="宋体" w:cs="宋体"/>
          <w:color w:val="000000"/>
          <w:sz w:val="24"/>
          <w:szCs w:val="24"/>
        </w:rPr>
        <w:t>2</w:t>
      </w:r>
      <w:r>
        <w:rPr>
          <w:rFonts w:hint="eastAsia" w:ascii="宋体" w:hAnsi="宋体" w:cs="宋体"/>
          <w:color w:val="000000"/>
          <w:sz w:val="24"/>
          <w:szCs w:val="24"/>
          <w:lang w:val="zh-CN"/>
        </w:rPr>
        <w:t>.5 下列情况之一发生时，投标保证金将不予退还：</w:t>
      </w:r>
    </w:p>
    <w:p w14:paraId="7BA6CDE9">
      <w:pPr>
        <w:autoSpaceDE w:val="0"/>
        <w:autoSpaceDN w:val="0"/>
        <w:adjustRightInd w:val="0"/>
        <w:spacing w:line="360" w:lineRule="auto"/>
        <w:ind w:firstLine="480"/>
        <w:rPr>
          <w:rFonts w:hint="eastAsia" w:ascii="宋体" w:hAnsi="宋体" w:cs="宋体"/>
          <w:color w:val="000000"/>
          <w:sz w:val="24"/>
          <w:szCs w:val="24"/>
          <w:lang w:val="zh-CN"/>
        </w:rPr>
      </w:pPr>
      <w:r>
        <w:rPr>
          <w:rFonts w:hint="eastAsia" w:ascii="宋体" w:hAnsi="宋体" w:cs="宋体"/>
          <w:color w:val="000000"/>
          <w:sz w:val="24"/>
          <w:szCs w:val="24"/>
          <w:lang w:val="zh-CN"/>
        </w:rPr>
        <w:t>（1）投标人在招标文件规定的投标有效期内撤回其投标；</w:t>
      </w:r>
    </w:p>
    <w:p w14:paraId="49365337">
      <w:pPr>
        <w:autoSpaceDE w:val="0"/>
        <w:autoSpaceDN w:val="0"/>
        <w:adjustRightInd w:val="0"/>
        <w:spacing w:line="360" w:lineRule="auto"/>
        <w:ind w:firstLine="480"/>
        <w:rPr>
          <w:rFonts w:hint="eastAsia" w:ascii="宋体" w:hAnsi="宋体" w:cs="宋体"/>
          <w:color w:val="000000"/>
          <w:sz w:val="24"/>
          <w:szCs w:val="24"/>
          <w:lang w:val="zh-CN"/>
        </w:rPr>
      </w:pPr>
      <w:r>
        <w:rPr>
          <w:rFonts w:hint="eastAsia" w:ascii="宋体" w:hAnsi="宋体" w:cs="宋体"/>
          <w:color w:val="000000"/>
          <w:sz w:val="24"/>
          <w:szCs w:val="24"/>
          <w:lang w:val="zh-CN"/>
        </w:rPr>
        <w:t>（2）中标人未按规定时间、地点与采购人签订合同的；</w:t>
      </w:r>
    </w:p>
    <w:p w14:paraId="44234138">
      <w:pPr>
        <w:autoSpaceDE w:val="0"/>
        <w:autoSpaceDN w:val="0"/>
        <w:adjustRightInd w:val="0"/>
        <w:spacing w:line="360" w:lineRule="auto"/>
        <w:ind w:firstLine="480"/>
        <w:rPr>
          <w:rFonts w:hint="eastAsia" w:ascii="宋体" w:hAnsi="宋体" w:cs="宋体"/>
          <w:color w:val="000000"/>
          <w:sz w:val="24"/>
          <w:szCs w:val="24"/>
          <w:lang w:val="zh-CN"/>
        </w:rPr>
      </w:pPr>
      <w:r>
        <w:rPr>
          <w:rFonts w:hint="eastAsia" w:ascii="宋体" w:hAnsi="宋体" w:cs="宋体"/>
          <w:color w:val="000000"/>
          <w:sz w:val="24"/>
          <w:szCs w:val="24"/>
          <w:lang w:val="zh-CN"/>
        </w:rPr>
        <w:t>（</w:t>
      </w:r>
      <w:r>
        <w:rPr>
          <w:rFonts w:hint="eastAsia" w:ascii="宋体" w:hAnsi="宋体" w:cs="宋体"/>
          <w:color w:val="000000"/>
          <w:sz w:val="24"/>
          <w:szCs w:val="24"/>
        </w:rPr>
        <w:t>3</w:t>
      </w:r>
      <w:r>
        <w:rPr>
          <w:rFonts w:hint="eastAsia" w:ascii="宋体" w:hAnsi="宋体" w:cs="宋体"/>
          <w:color w:val="000000"/>
          <w:sz w:val="24"/>
          <w:szCs w:val="24"/>
          <w:lang w:val="zh-CN"/>
        </w:rPr>
        <w:t>）中标人在收到</w:t>
      </w:r>
      <w:r>
        <w:rPr>
          <w:rFonts w:hint="eastAsia" w:ascii="宋体" w:hAnsi="宋体" w:cs="宋体"/>
          <w:color w:val="000000"/>
          <w:sz w:val="24"/>
          <w:szCs w:val="24"/>
        </w:rPr>
        <w:t>中标</w:t>
      </w:r>
      <w:r>
        <w:rPr>
          <w:rFonts w:hint="eastAsia" w:ascii="宋体" w:hAnsi="宋体" w:cs="宋体"/>
          <w:color w:val="000000"/>
          <w:sz w:val="24"/>
          <w:szCs w:val="24"/>
          <w:lang w:val="zh-CN"/>
        </w:rPr>
        <w:t>通知书后，无正当理由拒签合同协议书或未</w:t>
      </w:r>
      <w:r>
        <w:rPr>
          <w:rFonts w:hint="eastAsia" w:ascii="宋体" w:hAnsi="宋体" w:cs="宋体"/>
          <w:color w:val="000000"/>
          <w:sz w:val="24"/>
          <w:szCs w:val="24"/>
        </w:rPr>
        <w:t>招标</w:t>
      </w:r>
      <w:r>
        <w:rPr>
          <w:rFonts w:hint="eastAsia" w:ascii="宋体" w:hAnsi="宋体" w:cs="宋体"/>
          <w:color w:val="000000"/>
          <w:sz w:val="24"/>
          <w:szCs w:val="24"/>
          <w:lang w:val="zh-CN"/>
        </w:rPr>
        <w:t>文件规定提交履约担保。</w:t>
      </w:r>
    </w:p>
    <w:p w14:paraId="1789CBD3">
      <w:pPr>
        <w:autoSpaceDE w:val="0"/>
        <w:autoSpaceDN w:val="0"/>
        <w:adjustRightInd w:val="0"/>
        <w:spacing w:line="360" w:lineRule="auto"/>
        <w:ind w:firstLine="480"/>
        <w:rPr>
          <w:rFonts w:hint="eastAsia" w:ascii="宋体" w:hAnsi="宋体" w:cs="宋体"/>
          <w:color w:val="000000"/>
          <w:sz w:val="24"/>
          <w:szCs w:val="24"/>
          <w:lang w:val="zh-CN"/>
        </w:rPr>
      </w:pPr>
      <w:r>
        <w:rPr>
          <w:rFonts w:hint="eastAsia" w:ascii="宋体" w:hAnsi="宋体" w:cs="宋体"/>
          <w:color w:val="000000"/>
          <w:sz w:val="24"/>
          <w:szCs w:val="24"/>
          <w:lang w:val="zh-CN"/>
        </w:rPr>
        <w:t>（</w:t>
      </w:r>
      <w:r>
        <w:rPr>
          <w:rFonts w:hint="eastAsia" w:ascii="宋体" w:hAnsi="宋体" w:cs="宋体"/>
          <w:color w:val="000000"/>
          <w:sz w:val="24"/>
          <w:szCs w:val="24"/>
        </w:rPr>
        <w:t>4</w:t>
      </w:r>
      <w:r>
        <w:rPr>
          <w:rFonts w:hint="eastAsia" w:ascii="宋体" w:hAnsi="宋体" w:cs="宋体"/>
          <w:color w:val="000000"/>
          <w:sz w:val="24"/>
          <w:szCs w:val="24"/>
          <w:lang w:val="zh-CN"/>
        </w:rPr>
        <w:t xml:space="preserve">）投标人存在严重违法行为：如提供虚假材料谋取中标，恶意串通，以及行贿或者提供其他不正当利益等； </w:t>
      </w:r>
    </w:p>
    <w:p w14:paraId="1C5D2643">
      <w:pPr>
        <w:autoSpaceDE w:val="0"/>
        <w:autoSpaceDN w:val="0"/>
        <w:adjustRightInd w:val="0"/>
        <w:spacing w:line="360" w:lineRule="auto"/>
        <w:ind w:firstLine="480"/>
        <w:rPr>
          <w:rFonts w:hint="eastAsia" w:ascii="宋体" w:hAnsi="宋体" w:cs="宋体"/>
          <w:b/>
          <w:color w:val="000000"/>
          <w:sz w:val="24"/>
          <w:szCs w:val="24"/>
          <w:lang w:val="zh-CN"/>
        </w:rPr>
      </w:pPr>
      <w:r>
        <w:rPr>
          <w:rFonts w:hint="eastAsia" w:ascii="宋体" w:hAnsi="宋体" w:cs="宋体"/>
          <w:color w:val="000000"/>
          <w:sz w:val="24"/>
          <w:szCs w:val="24"/>
          <w:lang w:val="zh-CN"/>
        </w:rPr>
        <w:t>（</w:t>
      </w:r>
      <w:r>
        <w:rPr>
          <w:rFonts w:hint="eastAsia" w:ascii="宋体" w:hAnsi="宋体" w:cs="宋体"/>
          <w:color w:val="000000"/>
          <w:sz w:val="24"/>
          <w:szCs w:val="24"/>
        </w:rPr>
        <w:t>5</w:t>
      </w:r>
      <w:r>
        <w:rPr>
          <w:rFonts w:hint="eastAsia" w:ascii="宋体" w:hAnsi="宋体" w:cs="宋体"/>
          <w:color w:val="000000"/>
          <w:sz w:val="24"/>
          <w:szCs w:val="24"/>
          <w:lang w:val="zh-CN"/>
        </w:rPr>
        <w:t>）招标文件规定不予退还投标保证金的其他情形。</w:t>
      </w:r>
    </w:p>
    <w:p w14:paraId="3C918C31">
      <w:pPr>
        <w:autoSpaceDE w:val="0"/>
        <w:autoSpaceDN w:val="0"/>
        <w:adjustRightInd w:val="0"/>
        <w:spacing w:line="360" w:lineRule="auto"/>
        <w:ind w:firstLine="482"/>
        <w:jc w:val="left"/>
        <w:rPr>
          <w:rFonts w:hint="eastAsia" w:ascii="宋体" w:hAnsi="宋体" w:cs="宋体"/>
          <w:b/>
          <w:color w:val="000000"/>
          <w:sz w:val="24"/>
          <w:szCs w:val="24"/>
          <w:lang w:val="zh-CN"/>
        </w:rPr>
      </w:pPr>
      <w:r>
        <w:rPr>
          <w:rFonts w:hint="eastAsia" w:ascii="宋体" w:hAnsi="宋体" w:cs="宋体"/>
          <w:b/>
          <w:color w:val="000000"/>
          <w:sz w:val="24"/>
          <w:szCs w:val="24"/>
          <w:lang w:val="zh-CN"/>
        </w:rPr>
        <w:t>1</w:t>
      </w:r>
      <w:r>
        <w:rPr>
          <w:rFonts w:hint="eastAsia" w:ascii="宋体" w:hAnsi="宋体" w:cs="宋体"/>
          <w:b/>
          <w:color w:val="000000"/>
          <w:sz w:val="24"/>
          <w:szCs w:val="24"/>
        </w:rPr>
        <w:t>3</w:t>
      </w:r>
      <w:r>
        <w:rPr>
          <w:rFonts w:hint="eastAsia" w:ascii="宋体" w:hAnsi="宋体" w:cs="宋体"/>
          <w:b/>
          <w:color w:val="000000"/>
          <w:sz w:val="24"/>
          <w:szCs w:val="24"/>
          <w:lang w:val="zh-CN"/>
        </w:rPr>
        <w:t>. 投标有效期：</w:t>
      </w:r>
    </w:p>
    <w:p w14:paraId="36BC01F4">
      <w:pPr>
        <w:autoSpaceDE w:val="0"/>
        <w:autoSpaceDN w:val="0"/>
        <w:adjustRightInd w:val="0"/>
        <w:spacing w:line="360" w:lineRule="auto"/>
        <w:ind w:firstLine="480"/>
        <w:jc w:val="left"/>
        <w:rPr>
          <w:rFonts w:hint="eastAsia" w:ascii="宋体" w:hAnsi="宋体" w:cs="宋体"/>
          <w:color w:val="000000"/>
          <w:sz w:val="24"/>
          <w:szCs w:val="24"/>
          <w:lang w:val="zh-CN"/>
        </w:rPr>
      </w:pPr>
      <w:r>
        <w:rPr>
          <w:rFonts w:hint="eastAsia" w:ascii="宋体" w:hAnsi="宋体" w:cs="宋体"/>
          <w:color w:val="000000"/>
          <w:sz w:val="24"/>
          <w:szCs w:val="24"/>
          <w:lang w:val="zh-CN"/>
        </w:rPr>
        <w:t>1</w:t>
      </w:r>
      <w:r>
        <w:rPr>
          <w:rFonts w:hint="eastAsia" w:ascii="宋体" w:hAnsi="宋体" w:cs="宋体"/>
          <w:color w:val="000000"/>
          <w:sz w:val="24"/>
          <w:szCs w:val="24"/>
        </w:rPr>
        <w:t>3</w:t>
      </w:r>
      <w:r>
        <w:rPr>
          <w:rFonts w:hint="eastAsia" w:ascii="宋体" w:hAnsi="宋体" w:cs="宋体"/>
          <w:color w:val="000000"/>
          <w:sz w:val="24"/>
          <w:szCs w:val="24"/>
          <w:lang w:val="zh-CN"/>
        </w:rPr>
        <w:t>.1投标有效期为自开标之日起90天。投标文件在这个规定期限内应保持有效。</w:t>
      </w:r>
    </w:p>
    <w:p w14:paraId="65A3B26C">
      <w:pPr>
        <w:autoSpaceDE w:val="0"/>
        <w:autoSpaceDN w:val="0"/>
        <w:adjustRightInd w:val="0"/>
        <w:spacing w:line="360" w:lineRule="auto"/>
        <w:ind w:firstLine="480"/>
        <w:jc w:val="left"/>
        <w:rPr>
          <w:rFonts w:hint="eastAsia" w:ascii="宋体" w:hAnsi="宋体" w:cs="宋体"/>
          <w:color w:val="000000"/>
          <w:sz w:val="24"/>
          <w:szCs w:val="24"/>
          <w:lang w:val="zh-CN"/>
        </w:rPr>
      </w:pPr>
      <w:r>
        <w:rPr>
          <w:rFonts w:hint="eastAsia" w:ascii="宋体" w:hAnsi="宋体" w:cs="宋体"/>
          <w:color w:val="000000"/>
          <w:sz w:val="24"/>
          <w:szCs w:val="24"/>
          <w:lang w:val="zh-CN"/>
        </w:rPr>
        <w:t>1</w:t>
      </w:r>
      <w:r>
        <w:rPr>
          <w:rFonts w:hint="eastAsia" w:ascii="宋体" w:hAnsi="宋体" w:cs="宋体"/>
          <w:color w:val="000000"/>
          <w:sz w:val="24"/>
          <w:szCs w:val="24"/>
        </w:rPr>
        <w:t>3</w:t>
      </w:r>
      <w:r>
        <w:rPr>
          <w:rFonts w:hint="eastAsia" w:ascii="宋体" w:hAnsi="宋体" w:cs="宋体"/>
          <w:color w:val="000000"/>
          <w:sz w:val="24"/>
          <w:szCs w:val="24"/>
          <w:lang w:val="zh-CN"/>
        </w:rPr>
        <w:t>.2在特殊情况下，经采购人同意，采购代理机构可与投标人协商延长投标有效期。这种要求和答复都应以书面形式进行。投标人可以拒绝接受延期要求而不会被没收投标保证金。同意延长投标有效期的投标人除按照采购代理机构（经采购人同意）要求修改投标文件的有效期外，不能修改投标文件的其他内容。</w:t>
      </w:r>
    </w:p>
    <w:p w14:paraId="5400CFB2">
      <w:pPr>
        <w:autoSpaceDE w:val="0"/>
        <w:autoSpaceDN w:val="0"/>
        <w:adjustRightInd w:val="0"/>
        <w:spacing w:line="360" w:lineRule="auto"/>
        <w:ind w:firstLine="480"/>
        <w:jc w:val="left"/>
        <w:rPr>
          <w:rFonts w:hint="eastAsia" w:ascii="宋体" w:hAnsi="宋体" w:cs="宋体"/>
          <w:color w:val="000000"/>
          <w:sz w:val="24"/>
          <w:szCs w:val="24"/>
          <w:lang w:val="zh-CN"/>
        </w:rPr>
      </w:pPr>
      <w:r>
        <w:rPr>
          <w:rFonts w:hint="eastAsia" w:ascii="宋体" w:hAnsi="宋体" w:cs="宋体"/>
          <w:color w:val="000000"/>
          <w:sz w:val="24"/>
          <w:szCs w:val="24"/>
          <w:lang w:val="zh-CN"/>
        </w:rPr>
        <w:t>1</w:t>
      </w:r>
      <w:r>
        <w:rPr>
          <w:rFonts w:hint="eastAsia" w:ascii="宋体" w:hAnsi="宋体" w:cs="宋体"/>
          <w:color w:val="000000"/>
          <w:sz w:val="24"/>
          <w:szCs w:val="24"/>
        </w:rPr>
        <w:t>3</w:t>
      </w:r>
      <w:r>
        <w:rPr>
          <w:rFonts w:hint="eastAsia" w:ascii="宋体" w:hAnsi="宋体" w:cs="宋体"/>
          <w:color w:val="000000"/>
          <w:sz w:val="24"/>
          <w:szCs w:val="24"/>
          <w:lang w:val="zh-CN"/>
        </w:rPr>
        <w:t>.3中标人的投标文件有效期等同于合同履行期。</w:t>
      </w:r>
    </w:p>
    <w:p w14:paraId="3E2CC02C">
      <w:pPr>
        <w:autoSpaceDE w:val="0"/>
        <w:autoSpaceDN w:val="0"/>
        <w:adjustRightInd w:val="0"/>
        <w:spacing w:line="360" w:lineRule="auto"/>
        <w:ind w:firstLine="482"/>
        <w:jc w:val="left"/>
        <w:rPr>
          <w:rFonts w:hint="eastAsia" w:ascii="宋体" w:hAnsi="宋体" w:cs="宋体"/>
          <w:b/>
          <w:color w:val="000000"/>
          <w:sz w:val="24"/>
          <w:szCs w:val="24"/>
          <w:lang w:val="zh-CN"/>
        </w:rPr>
      </w:pPr>
      <w:r>
        <w:rPr>
          <w:rFonts w:hint="eastAsia" w:ascii="宋体" w:hAnsi="宋体" w:cs="宋体"/>
          <w:b/>
          <w:color w:val="000000"/>
          <w:sz w:val="24"/>
          <w:szCs w:val="24"/>
          <w:lang w:val="zh-CN"/>
        </w:rPr>
        <w:t>1</w:t>
      </w:r>
      <w:r>
        <w:rPr>
          <w:rFonts w:hint="eastAsia" w:ascii="宋体" w:hAnsi="宋体" w:cs="宋体"/>
          <w:b/>
          <w:color w:val="000000"/>
          <w:sz w:val="24"/>
          <w:szCs w:val="24"/>
        </w:rPr>
        <w:t>4</w:t>
      </w:r>
      <w:r>
        <w:rPr>
          <w:rFonts w:hint="eastAsia" w:ascii="宋体" w:hAnsi="宋体" w:cs="宋体"/>
          <w:b/>
          <w:color w:val="000000"/>
          <w:sz w:val="24"/>
          <w:szCs w:val="24"/>
          <w:lang w:val="zh-CN"/>
        </w:rPr>
        <w:t>. 投标文件的式样和签署</w:t>
      </w:r>
    </w:p>
    <w:p w14:paraId="55D53006">
      <w:pPr>
        <w:autoSpaceDE w:val="0"/>
        <w:autoSpaceDN w:val="0"/>
        <w:adjustRightInd w:val="0"/>
        <w:spacing w:line="360" w:lineRule="auto"/>
        <w:ind w:firstLine="480" w:firstLineChars="200"/>
        <w:jc w:val="left"/>
        <w:rPr>
          <w:rFonts w:hint="eastAsia" w:ascii="宋体" w:hAnsi="宋体" w:cs="宋体"/>
          <w:color w:val="000000"/>
          <w:sz w:val="24"/>
          <w:szCs w:val="24"/>
          <w:lang w:val="zh-CN"/>
        </w:rPr>
      </w:pPr>
      <w:r>
        <w:rPr>
          <w:rFonts w:hint="eastAsia" w:ascii="宋体" w:hAnsi="宋体" w:cs="宋体"/>
          <w:color w:val="000000"/>
          <w:sz w:val="24"/>
          <w:szCs w:val="24"/>
        </w:rPr>
        <w:t>14.</w:t>
      </w:r>
      <w:r>
        <w:rPr>
          <w:rFonts w:hint="eastAsia" w:ascii="宋体" w:hAnsi="宋体" w:cs="宋体"/>
          <w:color w:val="000000"/>
          <w:sz w:val="24"/>
          <w:szCs w:val="24"/>
          <w:lang w:val="zh-CN"/>
        </w:rPr>
        <w:t xml:space="preserve">1.供应商在政采云电子投标客户端下载并安装“政采云投标客户端”，供应商可在“政采云投标客户端”制作电子投标文件，供应商应当按照招标文件要求加盖单位签章（企业数字证书）和法定代表人电子签章（法人数字证书，电子法人名章或电子法人签字章均可）。联合体参加采购活动的，电子投标文件应当由联合体各成员共同签章。电子投标文件签章完成后，生成正式投标文件并加密。经数字证书加密的投标文件必须在提交电子投标文件截止时间前完成上传，加密和解密必须使用同一企业数字证书。具体操作方法见“政府采购项目电子交易管理操作指南-供应商”。 </w:t>
      </w:r>
    </w:p>
    <w:p w14:paraId="6EA0406D">
      <w:pPr>
        <w:autoSpaceDE w:val="0"/>
        <w:autoSpaceDN w:val="0"/>
        <w:adjustRightInd w:val="0"/>
        <w:spacing w:line="360" w:lineRule="auto"/>
        <w:ind w:firstLine="480" w:firstLineChars="200"/>
        <w:rPr>
          <w:rFonts w:hint="eastAsia" w:ascii="宋体" w:hAnsi="宋体" w:cs="宋体"/>
          <w:color w:val="000000"/>
          <w:sz w:val="24"/>
          <w:szCs w:val="24"/>
          <w:lang w:val="zh-CN"/>
        </w:rPr>
      </w:pPr>
      <w:r>
        <w:rPr>
          <w:rFonts w:hint="eastAsia" w:ascii="宋体" w:hAnsi="宋体" w:cs="宋体"/>
          <w:color w:val="000000"/>
          <w:sz w:val="24"/>
          <w:szCs w:val="24"/>
        </w:rPr>
        <w:t>14.</w:t>
      </w:r>
      <w:r>
        <w:rPr>
          <w:rFonts w:hint="eastAsia" w:ascii="宋体" w:hAnsi="宋体" w:cs="宋体"/>
          <w:color w:val="000000"/>
          <w:sz w:val="24"/>
          <w:szCs w:val="24"/>
          <w:lang w:val="zh-CN"/>
        </w:rPr>
        <w:t xml:space="preserve">2.提交电子投标文件截止时间前出现下列情形的，供应商必须对投标文件重新电子签章和生成投标文件，并在提交电子投标文件截止时间前上传至系统，否则无法完成解密： </w:t>
      </w:r>
    </w:p>
    <w:p w14:paraId="14D4852B">
      <w:pPr>
        <w:autoSpaceDE w:val="0"/>
        <w:autoSpaceDN w:val="0"/>
        <w:adjustRightInd w:val="0"/>
        <w:spacing w:line="360" w:lineRule="auto"/>
        <w:ind w:firstLine="480"/>
        <w:rPr>
          <w:rFonts w:hint="eastAsia" w:ascii="宋体" w:hAnsi="宋体" w:cs="宋体"/>
          <w:color w:val="000000"/>
          <w:sz w:val="24"/>
          <w:szCs w:val="24"/>
          <w:lang w:val="zh-CN"/>
        </w:rPr>
      </w:pPr>
      <w:r>
        <w:rPr>
          <w:rFonts w:hint="eastAsia" w:ascii="宋体" w:hAnsi="宋体" w:cs="宋体"/>
          <w:color w:val="000000"/>
          <w:sz w:val="24"/>
          <w:szCs w:val="24"/>
          <w:lang w:val="zh-CN"/>
        </w:rPr>
        <w:t xml:space="preserve">（1）数字证书到期后重新续期； </w:t>
      </w:r>
    </w:p>
    <w:p w14:paraId="380587EE">
      <w:pPr>
        <w:autoSpaceDE w:val="0"/>
        <w:autoSpaceDN w:val="0"/>
        <w:adjustRightInd w:val="0"/>
        <w:spacing w:line="360" w:lineRule="auto"/>
        <w:ind w:firstLine="480"/>
        <w:rPr>
          <w:rFonts w:hint="eastAsia" w:ascii="宋体" w:hAnsi="宋体" w:cs="宋体"/>
          <w:color w:val="000000"/>
          <w:sz w:val="24"/>
          <w:szCs w:val="24"/>
          <w:lang w:val="zh-CN"/>
        </w:rPr>
      </w:pPr>
      <w:r>
        <w:rPr>
          <w:rFonts w:hint="eastAsia" w:ascii="宋体" w:hAnsi="宋体" w:cs="宋体"/>
          <w:color w:val="000000"/>
          <w:sz w:val="24"/>
          <w:szCs w:val="24"/>
          <w:lang w:val="zh-CN"/>
        </w:rPr>
        <w:t xml:space="preserve">（2）数字证书因遗失、损坏、企业信息变更等情况更换新证书。 </w:t>
      </w:r>
    </w:p>
    <w:p w14:paraId="473C8FF9">
      <w:pPr>
        <w:autoSpaceDE w:val="0"/>
        <w:autoSpaceDN w:val="0"/>
        <w:adjustRightInd w:val="0"/>
        <w:spacing w:line="360" w:lineRule="auto"/>
        <w:rPr>
          <w:rFonts w:hint="eastAsia" w:ascii="宋体" w:hAnsi="宋体" w:cs="宋体"/>
          <w:color w:val="000000"/>
          <w:sz w:val="24"/>
          <w:szCs w:val="24"/>
          <w:lang w:val="zh-CN"/>
        </w:rPr>
      </w:pPr>
      <w:r>
        <w:rPr>
          <w:rFonts w:hint="eastAsia" w:ascii="宋体" w:hAnsi="宋体" w:cs="宋体"/>
          <w:color w:val="000000"/>
          <w:sz w:val="24"/>
          <w:szCs w:val="24"/>
          <w:lang w:val="zh-CN"/>
        </w:rPr>
        <w:t xml:space="preserve">供应商由于数字证书遗失、损坏、更换、续期等情况导致投标文件无法解密，由供应商自行承 </w:t>
      </w:r>
    </w:p>
    <w:p w14:paraId="796C2D7A">
      <w:pPr>
        <w:autoSpaceDE w:val="0"/>
        <w:autoSpaceDN w:val="0"/>
        <w:adjustRightInd w:val="0"/>
        <w:spacing w:line="360" w:lineRule="auto"/>
        <w:rPr>
          <w:rFonts w:hint="eastAsia" w:ascii="宋体" w:hAnsi="宋体" w:cs="宋体"/>
          <w:color w:val="000000"/>
          <w:sz w:val="24"/>
          <w:szCs w:val="24"/>
          <w:lang w:val="zh-CN"/>
        </w:rPr>
      </w:pPr>
      <w:r>
        <w:rPr>
          <w:rFonts w:hint="eastAsia" w:ascii="宋体" w:hAnsi="宋体" w:cs="宋体"/>
          <w:color w:val="000000"/>
          <w:sz w:val="24"/>
          <w:szCs w:val="24"/>
          <w:lang w:val="zh-CN"/>
        </w:rPr>
        <w:t>担责任。</w:t>
      </w:r>
    </w:p>
    <w:p w14:paraId="4619A259">
      <w:pPr>
        <w:numPr>
          <w:ilvl w:val="0"/>
          <w:numId w:val="1"/>
        </w:numPr>
        <w:autoSpaceDE w:val="0"/>
        <w:autoSpaceDN w:val="0"/>
        <w:adjustRightInd w:val="0"/>
        <w:spacing w:line="360" w:lineRule="auto"/>
        <w:ind w:firstLine="482"/>
        <w:rPr>
          <w:rFonts w:hint="eastAsia" w:ascii="宋体" w:hAnsi="宋体" w:cs="宋体"/>
          <w:b/>
          <w:color w:val="000000"/>
          <w:sz w:val="24"/>
          <w:szCs w:val="24"/>
          <w:lang w:val="zh-CN"/>
        </w:rPr>
      </w:pPr>
      <w:r>
        <w:rPr>
          <w:rFonts w:hint="eastAsia" w:ascii="宋体" w:hAnsi="宋体" w:cs="宋体"/>
          <w:b/>
          <w:color w:val="000000"/>
          <w:sz w:val="24"/>
          <w:szCs w:val="24"/>
          <w:lang w:val="zh-CN"/>
        </w:rPr>
        <w:t>投标文件的修改和撤回</w:t>
      </w:r>
    </w:p>
    <w:p w14:paraId="60760214">
      <w:pPr>
        <w:autoSpaceDE w:val="0"/>
        <w:autoSpaceDN w:val="0"/>
        <w:adjustRightInd w:val="0"/>
        <w:spacing w:line="360" w:lineRule="auto"/>
        <w:ind w:firstLine="480"/>
        <w:rPr>
          <w:rFonts w:hint="eastAsia" w:ascii="宋体" w:hAnsi="宋体" w:cs="宋体"/>
          <w:color w:val="000000"/>
          <w:sz w:val="24"/>
          <w:szCs w:val="24"/>
          <w:lang w:val="zh-CN"/>
        </w:rPr>
      </w:pPr>
      <w:r>
        <w:rPr>
          <w:rFonts w:hint="eastAsia" w:ascii="宋体" w:hAnsi="宋体" w:cs="宋体"/>
          <w:color w:val="000000"/>
          <w:sz w:val="24"/>
          <w:szCs w:val="24"/>
        </w:rPr>
        <w:t xml:space="preserve">15.1.投标人在投标截止时间前，可以对所递交的投标文件进行补充、修改或者撤回。补充、修改的内容应当按招标文件要求签署、盖章后，并作为投标文件的组成部分。在投标截止时间之后，投标人不得对其投标文件做任何修改和补充。 </w:t>
      </w:r>
    </w:p>
    <w:p w14:paraId="2A3A99A0">
      <w:pPr>
        <w:autoSpaceDE w:val="0"/>
        <w:autoSpaceDN w:val="0"/>
        <w:adjustRightInd w:val="0"/>
        <w:spacing w:line="360" w:lineRule="auto"/>
        <w:ind w:firstLine="480"/>
        <w:rPr>
          <w:rFonts w:hint="eastAsia" w:ascii="宋体" w:hAnsi="宋体" w:cs="宋体"/>
          <w:color w:val="000000"/>
          <w:sz w:val="24"/>
          <w:szCs w:val="24"/>
        </w:rPr>
      </w:pPr>
      <w:r>
        <w:rPr>
          <w:rFonts w:hint="eastAsia" w:ascii="宋体" w:hAnsi="宋体" w:cs="宋体"/>
          <w:color w:val="000000"/>
          <w:sz w:val="24"/>
          <w:szCs w:val="24"/>
        </w:rPr>
        <w:t>15.</w:t>
      </w:r>
      <w:r>
        <w:rPr>
          <w:rFonts w:ascii="宋体" w:hAnsi="宋体" w:cs="宋体"/>
          <w:color w:val="000000"/>
          <w:sz w:val="24"/>
          <w:szCs w:val="24"/>
        </w:rPr>
        <w:t>2.</w:t>
      </w:r>
      <w:r>
        <w:rPr>
          <w:rFonts w:hint="eastAsia" w:ascii="宋体" w:hAnsi="宋体" w:cs="宋体"/>
          <w:color w:val="000000"/>
          <w:sz w:val="24"/>
          <w:szCs w:val="24"/>
        </w:rPr>
        <w:t>投标人在投标截止后或在招标文件中规定的投标有效期内不可撤销其投标。</w:t>
      </w:r>
    </w:p>
    <w:p w14:paraId="2524593B">
      <w:pPr>
        <w:autoSpaceDE w:val="0"/>
        <w:autoSpaceDN w:val="0"/>
        <w:adjustRightInd w:val="0"/>
        <w:spacing w:line="360" w:lineRule="auto"/>
        <w:ind w:firstLine="480"/>
        <w:rPr>
          <w:rFonts w:hint="eastAsia" w:ascii="宋体" w:hAnsi="宋体" w:cs="宋体"/>
          <w:color w:val="000000"/>
          <w:sz w:val="24"/>
          <w:szCs w:val="24"/>
          <w:lang w:val="zh-CN"/>
        </w:rPr>
      </w:pPr>
      <w:r>
        <w:rPr>
          <w:rFonts w:hint="eastAsia" w:ascii="宋体" w:hAnsi="宋体" w:cs="宋体"/>
          <w:color w:val="000000"/>
          <w:sz w:val="24"/>
          <w:szCs w:val="24"/>
        </w:rPr>
        <w:t>15.</w:t>
      </w:r>
      <w:r>
        <w:rPr>
          <w:rFonts w:hint="eastAsia" w:ascii="宋体" w:hAnsi="宋体" w:cs="宋体"/>
          <w:color w:val="000000"/>
          <w:sz w:val="24"/>
          <w:szCs w:val="24"/>
          <w:lang w:val="zh-CN"/>
        </w:rPr>
        <w:t>3.除投标人不足3家不得开标的情形外，投标人所提交的投标文件在本项目投标截止时间后均不予退还。</w:t>
      </w:r>
    </w:p>
    <w:p w14:paraId="7E7FF88F">
      <w:pPr>
        <w:autoSpaceDE w:val="0"/>
        <w:autoSpaceDN w:val="0"/>
        <w:adjustRightInd w:val="0"/>
        <w:spacing w:line="360" w:lineRule="auto"/>
        <w:ind w:firstLine="482"/>
        <w:rPr>
          <w:rFonts w:hint="eastAsia" w:ascii="宋体" w:hAnsi="宋体" w:cs="宋体"/>
          <w:b/>
          <w:color w:val="000000"/>
          <w:sz w:val="24"/>
          <w:szCs w:val="24"/>
          <w:lang w:val="zh-CN"/>
        </w:rPr>
      </w:pPr>
      <w:r>
        <w:rPr>
          <w:rFonts w:hint="eastAsia" w:ascii="宋体" w:hAnsi="宋体" w:cs="宋体"/>
          <w:b/>
          <w:color w:val="000000"/>
          <w:sz w:val="24"/>
          <w:szCs w:val="24"/>
          <w:lang w:val="zh-CN"/>
        </w:rPr>
        <w:t>1</w:t>
      </w:r>
      <w:r>
        <w:rPr>
          <w:rFonts w:hint="eastAsia" w:ascii="宋体" w:hAnsi="宋体" w:cs="宋体"/>
          <w:b/>
          <w:color w:val="000000"/>
          <w:sz w:val="24"/>
          <w:szCs w:val="24"/>
        </w:rPr>
        <w:t>6</w:t>
      </w:r>
      <w:r>
        <w:rPr>
          <w:rFonts w:hint="eastAsia" w:ascii="宋体" w:hAnsi="宋体" w:cs="宋体"/>
          <w:b/>
          <w:color w:val="000000"/>
          <w:sz w:val="24"/>
          <w:szCs w:val="24"/>
          <w:lang w:val="zh-CN"/>
        </w:rPr>
        <w:t>. 投标</w:t>
      </w:r>
    </w:p>
    <w:p w14:paraId="0E6F74C6">
      <w:pPr>
        <w:autoSpaceDE w:val="0"/>
        <w:autoSpaceDN w:val="0"/>
        <w:adjustRightInd w:val="0"/>
        <w:spacing w:line="360" w:lineRule="auto"/>
        <w:ind w:firstLine="480"/>
        <w:rPr>
          <w:rFonts w:hint="eastAsia" w:ascii="宋体" w:hAnsi="宋体" w:cs="宋体"/>
          <w:bCs/>
          <w:color w:val="000000"/>
          <w:sz w:val="24"/>
          <w:szCs w:val="24"/>
          <w:lang w:val="zh-CN"/>
        </w:rPr>
      </w:pPr>
      <w:r>
        <w:rPr>
          <w:rFonts w:hint="eastAsia" w:ascii="宋体" w:hAnsi="宋体" w:cs="宋体"/>
          <w:bCs/>
          <w:color w:val="000000"/>
          <w:sz w:val="24"/>
          <w:szCs w:val="24"/>
        </w:rPr>
        <w:t>16.</w:t>
      </w:r>
      <w:r>
        <w:rPr>
          <w:rFonts w:hint="eastAsia" w:ascii="宋体" w:hAnsi="宋体" w:cs="宋体"/>
          <w:bCs/>
          <w:color w:val="000000"/>
          <w:sz w:val="24"/>
          <w:szCs w:val="24"/>
          <w:lang w:val="zh-CN"/>
        </w:rPr>
        <w:t>1.投标人</w:t>
      </w:r>
      <w:r>
        <w:rPr>
          <w:rFonts w:hint="eastAsia" w:ascii="宋体" w:hAnsi="宋体" w:cs="宋体"/>
          <w:bCs/>
          <w:color w:val="000000"/>
          <w:sz w:val="24"/>
          <w:szCs w:val="24"/>
        </w:rPr>
        <w:t>递交</w:t>
      </w:r>
      <w:r>
        <w:rPr>
          <w:rFonts w:hint="eastAsia" w:ascii="宋体" w:hAnsi="宋体" w:cs="宋体"/>
          <w:bCs/>
          <w:color w:val="000000"/>
          <w:sz w:val="24"/>
          <w:szCs w:val="24"/>
          <w:lang w:val="zh-CN"/>
        </w:rPr>
        <w:t xml:space="preserve">的投标文件应在本项目投标截止时间前通过政采云平台上传电子加密投标文件。 </w:t>
      </w:r>
    </w:p>
    <w:p w14:paraId="64DF75EB">
      <w:pPr>
        <w:autoSpaceDE w:val="0"/>
        <w:autoSpaceDN w:val="0"/>
        <w:adjustRightInd w:val="0"/>
        <w:spacing w:line="360" w:lineRule="auto"/>
        <w:ind w:firstLine="480"/>
        <w:rPr>
          <w:rFonts w:hint="eastAsia" w:ascii="宋体" w:hAnsi="宋体" w:cs="宋体"/>
          <w:bCs/>
          <w:color w:val="000000"/>
          <w:sz w:val="24"/>
          <w:szCs w:val="24"/>
          <w:lang w:val="zh-CN"/>
        </w:rPr>
      </w:pPr>
      <w:r>
        <w:rPr>
          <w:rFonts w:hint="eastAsia" w:ascii="宋体" w:hAnsi="宋体" w:cs="宋体"/>
          <w:bCs/>
          <w:color w:val="000000"/>
          <w:sz w:val="24"/>
          <w:szCs w:val="24"/>
        </w:rPr>
        <w:t>16.</w:t>
      </w:r>
      <w:r>
        <w:rPr>
          <w:rFonts w:hint="eastAsia" w:ascii="宋体" w:hAnsi="宋体" w:cs="宋体"/>
          <w:bCs/>
          <w:color w:val="000000"/>
          <w:sz w:val="24"/>
          <w:szCs w:val="24"/>
          <w:lang w:val="zh-CN"/>
        </w:rPr>
        <w:t>2.逾期送达或者未按照招标文件要求上传的投标文件，采购人、采购代理机构应当拒收。</w:t>
      </w:r>
    </w:p>
    <w:p w14:paraId="6BBB95BB">
      <w:pPr>
        <w:autoSpaceDE w:val="0"/>
        <w:autoSpaceDN w:val="0"/>
        <w:adjustRightInd w:val="0"/>
        <w:spacing w:line="360" w:lineRule="auto"/>
        <w:ind w:firstLine="480"/>
        <w:rPr>
          <w:rFonts w:hint="eastAsia" w:ascii="宋体" w:hAnsi="宋体" w:cs="宋体"/>
          <w:bCs/>
          <w:color w:val="000000"/>
          <w:sz w:val="24"/>
          <w:szCs w:val="24"/>
          <w:lang w:val="zh-CN"/>
        </w:rPr>
      </w:pPr>
      <w:r>
        <w:rPr>
          <w:rFonts w:hint="eastAsia" w:ascii="宋体" w:hAnsi="宋体" w:cs="宋体"/>
          <w:bCs/>
          <w:color w:val="000000"/>
          <w:sz w:val="24"/>
          <w:szCs w:val="24"/>
          <w:lang w:val="zh-CN"/>
        </w:rPr>
        <w:t>1</w:t>
      </w:r>
      <w:r>
        <w:rPr>
          <w:rFonts w:hint="eastAsia" w:ascii="宋体" w:hAnsi="宋体" w:cs="宋体"/>
          <w:bCs/>
          <w:color w:val="000000"/>
          <w:sz w:val="24"/>
          <w:szCs w:val="24"/>
        </w:rPr>
        <w:t>6</w:t>
      </w:r>
      <w:r>
        <w:rPr>
          <w:rFonts w:hint="eastAsia" w:ascii="宋体" w:hAnsi="宋体" w:cs="宋体"/>
          <w:bCs/>
          <w:color w:val="000000"/>
          <w:sz w:val="24"/>
          <w:szCs w:val="24"/>
          <w:lang w:val="zh-CN"/>
        </w:rPr>
        <w:t>.</w:t>
      </w:r>
      <w:r>
        <w:rPr>
          <w:rFonts w:hint="eastAsia" w:ascii="宋体" w:hAnsi="宋体" w:cs="宋体"/>
          <w:bCs/>
          <w:color w:val="000000"/>
          <w:sz w:val="24"/>
          <w:szCs w:val="24"/>
        </w:rPr>
        <w:t>3.</w:t>
      </w:r>
      <w:r>
        <w:rPr>
          <w:rFonts w:hint="eastAsia" w:ascii="宋体" w:hAnsi="宋体" w:cs="宋体"/>
          <w:bCs/>
          <w:color w:val="000000"/>
          <w:sz w:val="24"/>
          <w:szCs w:val="24"/>
          <w:lang w:val="zh-CN"/>
        </w:rPr>
        <w:t>首次招标投标截止时间结束后投标人不足三家的，将重新招标；重新招标仍出现本款前述情形的，可按本须知第</w:t>
      </w:r>
      <w:r>
        <w:rPr>
          <w:rFonts w:hint="eastAsia" w:ascii="宋体" w:hAnsi="宋体" w:cs="宋体"/>
          <w:bCs/>
          <w:color w:val="000000"/>
          <w:sz w:val="24"/>
          <w:szCs w:val="24"/>
        </w:rPr>
        <w:t>20</w:t>
      </w:r>
      <w:r>
        <w:rPr>
          <w:rFonts w:hint="eastAsia" w:ascii="宋体" w:hAnsi="宋体" w:cs="宋体"/>
          <w:bCs/>
          <w:color w:val="000000"/>
          <w:sz w:val="24"/>
          <w:szCs w:val="24"/>
          <w:lang w:val="zh-CN"/>
        </w:rPr>
        <w:t>条规定办理。</w:t>
      </w:r>
    </w:p>
    <w:p w14:paraId="166C0D37">
      <w:pPr>
        <w:autoSpaceDE w:val="0"/>
        <w:autoSpaceDN w:val="0"/>
        <w:adjustRightInd w:val="0"/>
        <w:spacing w:line="360" w:lineRule="auto"/>
        <w:ind w:firstLine="482"/>
        <w:rPr>
          <w:rFonts w:hint="eastAsia" w:ascii="宋体" w:hAnsi="宋体" w:cs="宋体"/>
          <w:b/>
          <w:color w:val="000000"/>
          <w:sz w:val="24"/>
          <w:szCs w:val="24"/>
          <w:lang w:val="zh-CN"/>
        </w:rPr>
      </w:pPr>
      <w:r>
        <w:rPr>
          <w:rFonts w:hint="eastAsia" w:ascii="宋体" w:hAnsi="宋体" w:cs="宋体"/>
          <w:b/>
          <w:color w:val="000000"/>
          <w:sz w:val="24"/>
          <w:szCs w:val="24"/>
          <w:lang w:val="zh-CN"/>
        </w:rPr>
        <w:t>1</w:t>
      </w:r>
      <w:r>
        <w:rPr>
          <w:rFonts w:hint="eastAsia" w:ascii="宋体" w:hAnsi="宋体" w:cs="宋体"/>
          <w:b/>
          <w:color w:val="000000"/>
          <w:sz w:val="24"/>
          <w:szCs w:val="24"/>
        </w:rPr>
        <w:t>7</w:t>
      </w:r>
      <w:r>
        <w:rPr>
          <w:rFonts w:hint="eastAsia" w:ascii="宋体" w:hAnsi="宋体" w:cs="宋体"/>
          <w:b/>
          <w:color w:val="000000"/>
          <w:sz w:val="24"/>
          <w:szCs w:val="24"/>
          <w:lang w:val="zh-CN"/>
        </w:rPr>
        <w:t>. 开标</w:t>
      </w:r>
    </w:p>
    <w:p w14:paraId="4A43A835">
      <w:pPr>
        <w:autoSpaceDE w:val="0"/>
        <w:autoSpaceDN w:val="0"/>
        <w:adjustRightInd w:val="0"/>
        <w:spacing w:line="360" w:lineRule="auto"/>
        <w:ind w:firstLine="482"/>
        <w:rPr>
          <w:rFonts w:hint="eastAsia" w:ascii="宋体" w:hAnsi="宋体" w:cs="宋体"/>
          <w:bCs/>
          <w:color w:val="000000"/>
          <w:sz w:val="24"/>
          <w:szCs w:val="24"/>
          <w:lang w:val="zh-CN"/>
        </w:rPr>
      </w:pPr>
      <w:r>
        <w:rPr>
          <w:rFonts w:hint="eastAsia" w:ascii="宋体" w:hAnsi="宋体" w:cs="宋体"/>
          <w:bCs/>
          <w:color w:val="000000"/>
          <w:sz w:val="24"/>
          <w:szCs w:val="24"/>
        </w:rPr>
        <w:t>17.</w:t>
      </w:r>
      <w:r>
        <w:rPr>
          <w:rFonts w:hint="eastAsia" w:ascii="宋体" w:hAnsi="宋体" w:cs="宋体"/>
          <w:bCs/>
          <w:color w:val="000000"/>
          <w:sz w:val="24"/>
          <w:szCs w:val="24"/>
          <w:lang w:val="zh-CN"/>
        </w:rPr>
        <w:t xml:space="preserve">1.采购代理机构在招标公告中规定的日期、时间和地点组织开标会议。开标时邀请所有投标人代表参加，投标人代表应通过政采云平台参加开标。 </w:t>
      </w:r>
    </w:p>
    <w:p w14:paraId="2098E00F">
      <w:pPr>
        <w:autoSpaceDE w:val="0"/>
        <w:autoSpaceDN w:val="0"/>
        <w:adjustRightInd w:val="0"/>
        <w:spacing w:line="360" w:lineRule="auto"/>
        <w:ind w:firstLine="482"/>
        <w:rPr>
          <w:rFonts w:hint="eastAsia" w:ascii="宋体" w:hAnsi="宋体" w:cs="宋体"/>
          <w:bCs/>
          <w:color w:val="000000"/>
          <w:sz w:val="24"/>
          <w:szCs w:val="24"/>
          <w:lang w:val="zh-CN"/>
        </w:rPr>
      </w:pPr>
      <w:r>
        <w:rPr>
          <w:rFonts w:hint="eastAsia" w:ascii="宋体" w:hAnsi="宋体" w:cs="宋体"/>
          <w:bCs/>
          <w:color w:val="000000"/>
          <w:sz w:val="24"/>
          <w:szCs w:val="24"/>
        </w:rPr>
        <w:t>17.</w:t>
      </w:r>
      <w:r>
        <w:rPr>
          <w:rFonts w:hint="eastAsia" w:ascii="宋体" w:hAnsi="宋体" w:cs="宋体"/>
          <w:bCs/>
          <w:color w:val="000000"/>
          <w:sz w:val="24"/>
          <w:szCs w:val="24"/>
          <w:lang w:val="zh-CN"/>
        </w:rPr>
        <w:t xml:space="preserve">2.开标流程以政采云平台流程为准。 </w:t>
      </w:r>
    </w:p>
    <w:p w14:paraId="23D85B05">
      <w:pPr>
        <w:autoSpaceDE w:val="0"/>
        <w:autoSpaceDN w:val="0"/>
        <w:adjustRightInd w:val="0"/>
        <w:spacing w:line="360" w:lineRule="auto"/>
        <w:ind w:firstLine="482"/>
        <w:rPr>
          <w:rFonts w:hint="eastAsia" w:ascii="宋体" w:hAnsi="宋体" w:cs="宋体"/>
          <w:bCs/>
          <w:color w:val="000000"/>
          <w:sz w:val="24"/>
          <w:szCs w:val="24"/>
          <w:lang w:val="zh-CN"/>
        </w:rPr>
      </w:pPr>
      <w:r>
        <w:rPr>
          <w:rFonts w:hint="eastAsia" w:ascii="宋体" w:hAnsi="宋体" w:cs="宋体"/>
          <w:bCs/>
          <w:color w:val="000000"/>
          <w:sz w:val="24"/>
          <w:szCs w:val="24"/>
        </w:rPr>
        <w:t>17.</w:t>
      </w:r>
      <w:r>
        <w:rPr>
          <w:rFonts w:hint="eastAsia" w:ascii="宋体" w:hAnsi="宋体" w:cs="宋体"/>
          <w:bCs/>
          <w:color w:val="000000"/>
          <w:sz w:val="24"/>
          <w:szCs w:val="24"/>
          <w:lang w:val="zh-CN"/>
        </w:rPr>
        <w:t>3.投标人未参加开标的，视同认可开标结果。</w:t>
      </w:r>
    </w:p>
    <w:p w14:paraId="3E2891CE">
      <w:pPr>
        <w:autoSpaceDE w:val="0"/>
        <w:autoSpaceDN w:val="0"/>
        <w:adjustRightInd w:val="0"/>
        <w:spacing w:line="360" w:lineRule="auto"/>
        <w:ind w:firstLine="482"/>
        <w:rPr>
          <w:rFonts w:hint="eastAsia" w:ascii="宋体" w:hAnsi="宋体" w:cs="宋体"/>
          <w:color w:val="000000"/>
          <w:sz w:val="24"/>
          <w:szCs w:val="24"/>
          <w:lang w:val="zh-CN"/>
        </w:rPr>
      </w:pPr>
      <w:r>
        <w:rPr>
          <w:rFonts w:hint="eastAsia" w:ascii="宋体" w:hAnsi="宋体" w:cs="宋体"/>
          <w:b/>
          <w:color w:val="000000"/>
          <w:sz w:val="24"/>
          <w:szCs w:val="24"/>
          <w:lang w:val="zh-CN"/>
        </w:rPr>
        <w:t>1</w:t>
      </w:r>
      <w:r>
        <w:rPr>
          <w:rFonts w:hint="eastAsia" w:ascii="宋体" w:hAnsi="宋体" w:cs="宋体"/>
          <w:b/>
          <w:color w:val="000000"/>
          <w:sz w:val="24"/>
          <w:szCs w:val="24"/>
        </w:rPr>
        <w:t>8</w:t>
      </w:r>
      <w:r>
        <w:rPr>
          <w:rFonts w:hint="eastAsia" w:ascii="宋体" w:hAnsi="宋体" w:cs="宋体"/>
          <w:b/>
          <w:color w:val="000000"/>
          <w:sz w:val="24"/>
          <w:szCs w:val="24"/>
          <w:lang w:val="zh-CN"/>
        </w:rPr>
        <w:t>. 评标过程的保密性：</w:t>
      </w:r>
      <w:r>
        <w:rPr>
          <w:rFonts w:hint="eastAsia" w:ascii="宋体" w:hAnsi="宋体" w:cs="宋体"/>
          <w:color w:val="000000"/>
          <w:sz w:val="24"/>
          <w:szCs w:val="24"/>
          <w:lang w:val="zh-CN"/>
        </w:rPr>
        <w:t>公开开标后，直至向中标的投标人授予合同时止，除按招标文件规定予以公开的评标结果外，凡与审查、澄清、评价和比较投标有关的资料以及授标意见等，均不得向投标人及与评标无关的其他人透露。</w:t>
      </w:r>
    </w:p>
    <w:p w14:paraId="356E4E26">
      <w:pPr>
        <w:autoSpaceDE w:val="0"/>
        <w:autoSpaceDN w:val="0"/>
        <w:adjustRightInd w:val="0"/>
        <w:spacing w:line="360" w:lineRule="auto"/>
        <w:ind w:firstLine="482"/>
        <w:rPr>
          <w:rFonts w:hint="eastAsia" w:ascii="宋体" w:hAnsi="宋体" w:cs="宋体"/>
          <w:b/>
          <w:color w:val="000000"/>
          <w:sz w:val="24"/>
          <w:szCs w:val="24"/>
          <w:lang w:val="zh-CN"/>
        </w:rPr>
      </w:pPr>
      <w:r>
        <w:rPr>
          <w:rFonts w:hint="eastAsia" w:ascii="宋体" w:hAnsi="宋体" w:cs="宋体"/>
          <w:b/>
          <w:color w:val="000000"/>
          <w:sz w:val="24"/>
          <w:szCs w:val="24"/>
          <w:lang w:val="zh-CN"/>
        </w:rPr>
        <w:t>1</w:t>
      </w:r>
      <w:r>
        <w:rPr>
          <w:rFonts w:hint="eastAsia" w:ascii="宋体" w:hAnsi="宋体" w:cs="宋体"/>
          <w:b/>
          <w:color w:val="000000"/>
          <w:sz w:val="24"/>
          <w:szCs w:val="24"/>
        </w:rPr>
        <w:t>9</w:t>
      </w:r>
      <w:r>
        <w:rPr>
          <w:rFonts w:hint="eastAsia" w:ascii="宋体" w:hAnsi="宋体" w:cs="宋体"/>
          <w:b/>
          <w:color w:val="000000"/>
          <w:sz w:val="24"/>
          <w:szCs w:val="24"/>
          <w:lang w:val="zh-CN"/>
        </w:rPr>
        <w:t>. 评标</w:t>
      </w:r>
    </w:p>
    <w:p w14:paraId="63B8D820">
      <w:pPr>
        <w:autoSpaceDE w:val="0"/>
        <w:autoSpaceDN w:val="0"/>
        <w:adjustRightInd w:val="0"/>
        <w:spacing w:line="360" w:lineRule="auto"/>
        <w:ind w:firstLine="482"/>
        <w:rPr>
          <w:rFonts w:hint="eastAsia" w:ascii="宋体" w:hAnsi="宋体" w:cs="宋体"/>
          <w:color w:val="000000"/>
          <w:sz w:val="24"/>
          <w:szCs w:val="24"/>
          <w:lang w:val="zh-CN"/>
        </w:rPr>
      </w:pPr>
      <w:r>
        <w:rPr>
          <w:rFonts w:hint="eastAsia" w:ascii="宋体" w:hAnsi="宋体" w:cs="宋体"/>
          <w:b/>
          <w:color w:val="000000"/>
          <w:sz w:val="24"/>
          <w:szCs w:val="24"/>
          <w:lang w:val="zh-CN"/>
        </w:rPr>
        <w:t>1</w:t>
      </w:r>
      <w:r>
        <w:rPr>
          <w:rFonts w:hint="eastAsia" w:ascii="宋体" w:hAnsi="宋体" w:cs="宋体"/>
          <w:b/>
          <w:color w:val="000000"/>
          <w:sz w:val="24"/>
          <w:szCs w:val="24"/>
        </w:rPr>
        <w:t>9</w:t>
      </w:r>
      <w:r>
        <w:rPr>
          <w:rFonts w:hint="eastAsia" w:ascii="宋体" w:hAnsi="宋体" w:cs="宋体"/>
          <w:b/>
          <w:color w:val="000000"/>
          <w:sz w:val="24"/>
          <w:szCs w:val="24"/>
          <w:lang w:val="zh-CN"/>
        </w:rPr>
        <w:t>.1 评标工作由采购代理机构负责组织，具体评标工作由采购代理机构依法组建的评标委员会负责。</w:t>
      </w:r>
      <w:r>
        <w:rPr>
          <w:rFonts w:hint="eastAsia" w:ascii="宋体" w:hAnsi="宋体" w:cs="宋体"/>
          <w:color w:val="000000"/>
          <w:sz w:val="24"/>
          <w:szCs w:val="24"/>
          <w:lang w:val="zh-CN"/>
        </w:rPr>
        <w:t>评标委员会由</w:t>
      </w:r>
      <w:r>
        <w:rPr>
          <w:rFonts w:hint="eastAsia" w:ascii="宋体" w:hAnsi="宋体" w:cs="宋体"/>
          <w:color w:val="000000"/>
          <w:sz w:val="24"/>
          <w:szCs w:val="24"/>
        </w:rPr>
        <w:t>评审</w:t>
      </w:r>
      <w:r>
        <w:rPr>
          <w:rFonts w:hint="eastAsia" w:ascii="宋体" w:hAnsi="宋体" w:cs="宋体"/>
          <w:color w:val="000000"/>
          <w:sz w:val="24"/>
          <w:szCs w:val="24"/>
          <w:lang w:val="zh-CN"/>
        </w:rPr>
        <w:t>专家和采购人代表组成。评标委员会的专家成员</w:t>
      </w:r>
      <w:r>
        <w:rPr>
          <w:rFonts w:hint="eastAsia" w:ascii="宋体" w:hAnsi="宋体" w:cs="宋体"/>
          <w:color w:val="000000"/>
          <w:sz w:val="24"/>
          <w:szCs w:val="24"/>
        </w:rPr>
        <w:t>依法</w:t>
      </w:r>
      <w:r>
        <w:rPr>
          <w:rFonts w:hint="eastAsia" w:ascii="宋体" w:hAnsi="宋体" w:cs="宋体"/>
          <w:color w:val="000000"/>
          <w:sz w:val="24"/>
          <w:szCs w:val="24"/>
          <w:lang w:val="zh-CN"/>
        </w:rPr>
        <w:t>从专家库中随机抽取产生，采购人代表由采购人委派。需要设立评标委员会主任的，评标委员会主任由专家担任，由评标委员会成员选举产生，负责主持具体评标工作。评标委员会根据有关法律法规和招标文件规定的方法和标准独立评标，负责完成评标的全过程直至评定预中标人。采购代理机构只负责评标组织工作，不参加评标。</w:t>
      </w:r>
    </w:p>
    <w:p w14:paraId="4548390A">
      <w:pPr>
        <w:autoSpaceDE w:val="0"/>
        <w:autoSpaceDN w:val="0"/>
        <w:adjustRightInd w:val="0"/>
        <w:spacing w:line="360" w:lineRule="auto"/>
        <w:ind w:firstLine="482"/>
        <w:rPr>
          <w:rFonts w:hint="eastAsia" w:ascii="宋体" w:hAnsi="宋体" w:cs="宋体"/>
          <w:color w:val="000000"/>
          <w:sz w:val="24"/>
          <w:szCs w:val="24"/>
          <w:lang w:val="zh-CN"/>
        </w:rPr>
      </w:pPr>
      <w:r>
        <w:rPr>
          <w:rFonts w:hint="eastAsia" w:ascii="宋体" w:hAnsi="宋体" w:cs="宋体"/>
          <w:b/>
          <w:color w:val="000000"/>
          <w:sz w:val="24"/>
          <w:szCs w:val="24"/>
          <w:lang w:val="zh-CN"/>
        </w:rPr>
        <w:t>1</w:t>
      </w:r>
      <w:r>
        <w:rPr>
          <w:rFonts w:hint="eastAsia" w:ascii="宋体" w:hAnsi="宋体" w:cs="宋体"/>
          <w:b/>
          <w:color w:val="000000"/>
          <w:sz w:val="24"/>
          <w:szCs w:val="24"/>
        </w:rPr>
        <w:t>9</w:t>
      </w:r>
      <w:r>
        <w:rPr>
          <w:rFonts w:hint="eastAsia" w:ascii="宋体" w:hAnsi="宋体" w:cs="宋体"/>
          <w:b/>
          <w:color w:val="000000"/>
          <w:sz w:val="24"/>
          <w:szCs w:val="24"/>
          <w:lang w:val="zh-CN"/>
        </w:rPr>
        <w:t>.2 审查是否所有投标人的报价均超过采购预算：</w:t>
      </w:r>
      <w:r>
        <w:rPr>
          <w:rFonts w:hint="eastAsia" w:ascii="宋体" w:hAnsi="宋体" w:cs="宋体"/>
          <w:color w:val="000000"/>
          <w:sz w:val="24"/>
          <w:szCs w:val="24"/>
          <w:lang w:val="zh-CN"/>
        </w:rPr>
        <w:t>根据《中华人民共和国政府采购法》的规定，所有投标人的报价均超过采购预算，采购人不能支付的，应予废标。</w:t>
      </w:r>
    </w:p>
    <w:p w14:paraId="7EC1004F">
      <w:pPr>
        <w:autoSpaceDE w:val="0"/>
        <w:autoSpaceDN w:val="0"/>
        <w:adjustRightInd w:val="0"/>
        <w:spacing w:line="360" w:lineRule="auto"/>
        <w:ind w:firstLine="482"/>
        <w:rPr>
          <w:rFonts w:hint="eastAsia" w:ascii="宋体" w:hAnsi="宋体" w:cs="宋体"/>
          <w:color w:val="000000"/>
          <w:sz w:val="24"/>
          <w:szCs w:val="24"/>
          <w:lang w:val="zh-CN"/>
        </w:rPr>
      </w:pPr>
      <w:r>
        <w:rPr>
          <w:rFonts w:hint="eastAsia" w:ascii="宋体" w:hAnsi="宋体" w:cs="宋体"/>
          <w:b/>
          <w:color w:val="000000"/>
          <w:sz w:val="24"/>
          <w:szCs w:val="24"/>
          <w:lang w:val="zh-CN"/>
        </w:rPr>
        <w:t>1</w:t>
      </w:r>
      <w:r>
        <w:rPr>
          <w:rFonts w:hint="eastAsia" w:ascii="宋体" w:hAnsi="宋体" w:cs="宋体"/>
          <w:b/>
          <w:color w:val="000000"/>
          <w:sz w:val="24"/>
          <w:szCs w:val="24"/>
        </w:rPr>
        <w:t>9</w:t>
      </w:r>
      <w:r>
        <w:rPr>
          <w:rFonts w:hint="eastAsia" w:ascii="宋体" w:hAnsi="宋体" w:cs="宋体"/>
          <w:b/>
          <w:color w:val="000000"/>
          <w:sz w:val="24"/>
          <w:szCs w:val="24"/>
          <w:lang w:val="zh-CN"/>
        </w:rPr>
        <w:t>.3 审查投标人是否存在串通投标行为：</w:t>
      </w:r>
      <w:r>
        <w:rPr>
          <w:rFonts w:hint="eastAsia" w:ascii="宋体" w:hAnsi="宋体" w:cs="宋体"/>
          <w:color w:val="000000"/>
          <w:sz w:val="24"/>
          <w:szCs w:val="24"/>
          <w:lang w:val="zh-CN"/>
        </w:rPr>
        <w:t>评标委员会发现投标人有下列情形之一的，将视为串通投标行为，相关投标人的投标应作废标处理。评标结束后，招标机构将以书面形式报告吉林省政府采购监督管理部门：</w:t>
      </w:r>
    </w:p>
    <w:p w14:paraId="4D35C212">
      <w:pPr>
        <w:autoSpaceDE w:val="0"/>
        <w:autoSpaceDN w:val="0"/>
        <w:adjustRightInd w:val="0"/>
        <w:spacing w:line="360" w:lineRule="auto"/>
        <w:ind w:firstLine="482"/>
        <w:rPr>
          <w:rFonts w:hint="eastAsia" w:ascii="宋体" w:hAnsi="宋体" w:cs="宋体"/>
          <w:bCs/>
          <w:color w:val="000000"/>
          <w:sz w:val="24"/>
          <w:szCs w:val="24"/>
          <w:lang w:val="zh-CN"/>
        </w:rPr>
      </w:pPr>
      <w:r>
        <w:rPr>
          <w:rFonts w:hint="eastAsia" w:ascii="宋体" w:hAnsi="宋体" w:cs="宋体"/>
          <w:bCs/>
          <w:color w:val="000000"/>
          <w:sz w:val="24"/>
          <w:szCs w:val="24"/>
          <w:lang w:val="zh-CN"/>
        </w:rPr>
        <w:t>（一）不同投标人的投标文件由同一单位或者个人编制；</w:t>
      </w:r>
    </w:p>
    <w:p w14:paraId="2263119F">
      <w:pPr>
        <w:autoSpaceDE w:val="0"/>
        <w:autoSpaceDN w:val="0"/>
        <w:adjustRightInd w:val="0"/>
        <w:spacing w:line="360" w:lineRule="auto"/>
        <w:ind w:firstLine="482"/>
        <w:rPr>
          <w:rFonts w:hint="eastAsia" w:ascii="宋体" w:hAnsi="宋体" w:cs="宋体"/>
          <w:bCs/>
          <w:color w:val="000000"/>
          <w:sz w:val="24"/>
          <w:szCs w:val="24"/>
          <w:lang w:val="zh-CN"/>
        </w:rPr>
      </w:pPr>
      <w:r>
        <w:rPr>
          <w:rFonts w:hint="eastAsia" w:ascii="宋体" w:hAnsi="宋体" w:cs="宋体"/>
          <w:bCs/>
          <w:color w:val="000000"/>
          <w:sz w:val="24"/>
          <w:szCs w:val="24"/>
          <w:lang w:val="zh-CN"/>
        </w:rPr>
        <w:t>（二）不同投标人委托同一单位或者个人办理投标事宜；</w:t>
      </w:r>
    </w:p>
    <w:p w14:paraId="4DA7B583">
      <w:pPr>
        <w:autoSpaceDE w:val="0"/>
        <w:autoSpaceDN w:val="0"/>
        <w:adjustRightInd w:val="0"/>
        <w:spacing w:line="360" w:lineRule="auto"/>
        <w:ind w:firstLine="482"/>
        <w:rPr>
          <w:rFonts w:hint="eastAsia" w:ascii="宋体" w:hAnsi="宋体" w:cs="宋体"/>
          <w:bCs/>
          <w:color w:val="000000"/>
          <w:sz w:val="24"/>
          <w:szCs w:val="24"/>
          <w:lang w:val="zh-CN"/>
        </w:rPr>
      </w:pPr>
      <w:r>
        <w:rPr>
          <w:rFonts w:hint="eastAsia" w:ascii="宋体" w:hAnsi="宋体" w:cs="宋体"/>
          <w:bCs/>
          <w:color w:val="000000"/>
          <w:sz w:val="24"/>
          <w:szCs w:val="24"/>
          <w:lang w:val="zh-CN"/>
        </w:rPr>
        <w:t>（三）不同投标人的投标文件载明的项目管理成员或者联系人员为同一人；</w:t>
      </w:r>
    </w:p>
    <w:p w14:paraId="35EB37A2">
      <w:pPr>
        <w:autoSpaceDE w:val="0"/>
        <w:autoSpaceDN w:val="0"/>
        <w:adjustRightInd w:val="0"/>
        <w:spacing w:line="360" w:lineRule="auto"/>
        <w:ind w:firstLine="482"/>
        <w:rPr>
          <w:rFonts w:hint="eastAsia" w:ascii="宋体" w:hAnsi="宋体" w:cs="宋体"/>
          <w:bCs/>
          <w:color w:val="000000"/>
          <w:sz w:val="24"/>
          <w:szCs w:val="24"/>
          <w:lang w:val="zh-CN"/>
        </w:rPr>
      </w:pPr>
      <w:r>
        <w:rPr>
          <w:rFonts w:hint="eastAsia" w:ascii="宋体" w:hAnsi="宋体" w:cs="宋体"/>
          <w:bCs/>
          <w:color w:val="000000"/>
          <w:sz w:val="24"/>
          <w:szCs w:val="24"/>
          <w:lang w:val="zh-CN"/>
        </w:rPr>
        <w:t>（四）不同投标人的投标文件异常一致或者投标报价呈规律性差异；</w:t>
      </w:r>
    </w:p>
    <w:p w14:paraId="1BC221EA">
      <w:pPr>
        <w:autoSpaceDE w:val="0"/>
        <w:autoSpaceDN w:val="0"/>
        <w:adjustRightInd w:val="0"/>
        <w:spacing w:line="360" w:lineRule="auto"/>
        <w:ind w:firstLine="482"/>
        <w:rPr>
          <w:rFonts w:hint="eastAsia" w:ascii="宋体" w:hAnsi="宋体" w:cs="宋体"/>
          <w:bCs/>
          <w:color w:val="000000"/>
          <w:sz w:val="24"/>
          <w:szCs w:val="24"/>
          <w:lang w:val="zh-CN"/>
        </w:rPr>
      </w:pPr>
      <w:r>
        <w:rPr>
          <w:rFonts w:hint="eastAsia" w:ascii="宋体" w:hAnsi="宋体" w:cs="宋体"/>
          <w:bCs/>
          <w:color w:val="000000"/>
          <w:sz w:val="24"/>
          <w:szCs w:val="24"/>
          <w:lang w:val="zh-CN"/>
        </w:rPr>
        <w:t>（五）不同投标人的投标文件相互混装；</w:t>
      </w:r>
    </w:p>
    <w:p w14:paraId="019BBC3E">
      <w:pPr>
        <w:autoSpaceDE w:val="0"/>
        <w:autoSpaceDN w:val="0"/>
        <w:adjustRightInd w:val="0"/>
        <w:spacing w:line="360" w:lineRule="auto"/>
        <w:ind w:firstLine="482"/>
        <w:rPr>
          <w:rFonts w:hint="eastAsia" w:ascii="宋体" w:hAnsi="宋体" w:cs="宋体"/>
          <w:b/>
          <w:color w:val="000000"/>
          <w:sz w:val="24"/>
          <w:szCs w:val="24"/>
          <w:lang w:val="zh-CN"/>
        </w:rPr>
      </w:pPr>
      <w:r>
        <w:rPr>
          <w:rFonts w:hint="eastAsia" w:ascii="宋体" w:hAnsi="宋体" w:cs="宋体"/>
          <w:bCs/>
          <w:color w:val="000000"/>
          <w:sz w:val="24"/>
          <w:szCs w:val="24"/>
          <w:lang w:val="zh-CN"/>
        </w:rPr>
        <w:t>（六）不同投标人的投标保证金从同一单位或者个人的账户转出。</w:t>
      </w:r>
    </w:p>
    <w:p w14:paraId="4E914CC5">
      <w:pPr>
        <w:autoSpaceDE w:val="0"/>
        <w:autoSpaceDN w:val="0"/>
        <w:adjustRightInd w:val="0"/>
        <w:spacing w:line="360" w:lineRule="auto"/>
        <w:ind w:firstLine="482"/>
        <w:rPr>
          <w:rFonts w:hint="eastAsia" w:ascii="宋体" w:hAnsi="宋体" w:cs="宋体"/>
          <w:bCs/>
          <w:color w:val="000000"/>
          <w:sz w:val="24"/>
          <w:szCs w:val="24"/>
          <w:lang w:val="zh-CN"/>
        </w:rPr>
      </w:pPr>
      <w:r>
        <w:rPr>
          <w:rFonts w:hint="eastAsia" w:ascii="宋体" w:hAnsi="宋体" w:cs="宋体"/>
          <w:b/>
          <w:color w:val="000000"/>
          <w:sz w:val="24"/>
          <w:szCs w:val="24"/>
          <w:lang w:val="zh-CN"/>
        </w:rPr>
        <w:t>1</w:t>
      </w:r>
      <w:r>
        <w:rPr>
          <w:rFonts w:hint="eastAsia" w:ascii="宋体" w:hAnsi="宋体" w:cs="宋体"/>
          <w:b/>
          <w:color w:val="000000"/>
          <w:sz w:val="24"/>
          <w:szCs w:val="24"/>
        </w:rPr>
        <w:t>9</w:t>
      </w:r>
      <w:r>
        <w:rPr>
          <w:rFonts w:hint="eastAsia" w:ascii="宋体" w:hAnsi="宋体" w:cs="宋体"/>
          <w:b/>
          <w:color w:val="000000"/>
          <w:sz w:val="24"/>
          <w:szCs w:val="24"/>
          <w:lang w:val="zh-CN"/>
        </w:rPr>
        <w:t>.4</w:t>
      </w:r>
      <w:r>
        <w:rPr>
          <w:rFonts w:hint="eastAsia" w:ascii="宋体" w:hAnsi="宋体" w:cs="宋体"/>
          <w:bCs/>
          <w:color w:val="000000"/>
          <w:sz w:val="24"/>
          <w:szCs w:val="24"/>
          <w:lang w:val="zh-CN"/>
        </w:rPr>
        <w:t xml:space="preserve"> 开标结束后，由采购人或者采购代理机构对投标文件中的供应商资格证明文件进行审查。详见第三章评标办法中“资格性审查表”。供应商提供的资格证明文件缺少任何一项或有任何一项不满足，都将被视为无效投标。供应商所提供的资格证明文件应图文清晰、易于辨识，否则由此带来的不利后果由供应商自行承担。资格审查结束后，采购人或者采购代理机构应当对审查结果进行签字确认；</w:t>
      </w:r>
    </w:p>
    <w:p w14:paraId="373B0EE4">
      <w:pPr>
        <w:autoSpaceDE w:val="0"/>
        <w:autoSpaceDN w:val="0"/>
        <w:adjustRightInd w:val="0"/>
        <w:spacing w:line="360" w:lineRule="auto"/>
        <w:ind w:firstLine="482"/>
        <w:rPr>
          <w:rFonts w:hint="eastAsia" w:ascii="宋体" w:hAnsi="宋体" w:cs="宋体"/>
          <w:b/>
          <w:color w:val="000000"/>
          <w:sz w:val="24"/>
          <w:szCs w:val="24"/>
          <w:lang w:val="zh-CN"/>
        </w:rPr>
      </w:pPr>
      <w:r>
        <w:rPr>
          <w:rFonts w:hint="eastAsia" w:ascii="宋体" w:hAnsi="宋体" w:cs="宋体"/>
          <w:bCs/>
          <w:color w:val="000000"/>
          <w:sz w:val="24"/>
          <w:szCs w:val="24"/>
        </w:rPr>
        <w:t>19.5 对投标文件符合性部分进行审查</w:t>
      </w:r>
    </w:p>
    <w:p w14:paraId="6FB7004A">
      <w:pPr>
        <w:autoSpaceDE w:val="0"/>
        <w:autoSpaceDN w:val="0"/>
        <w:adjustRightInd w:val="0"/>
        <w:spacing w:line="360" w:lineRule="auto"/>
        <w:ind w:firstLine="482"/>
        <w:rPr>
          <w:rFonts w:hint="eastAsia" w:ascii="宋体" w:hAnsi="宋体" w:cs="宋体"/>
          <w:color w:val="000000"/>
          <w:sz w:val="24"/>
          <w:szCs w:val="24"/>
          <w:lang w:val="zh-CN"/>
        </w:rPr>
      </w:pPr>
      <w:r>
        <w:rPr>
          <w:rFonts w:hint="eastAsia" w:ascii="宋体" w:hAnsi="宋体" w:cs="宋体"/>
          <w:b/>
          <w:color w:val="000000"/>
          <w:sz w:val="24"/>
          <w:szCs w:val="24"/>
          <w:lang w:val="zh-CN"/>
        </w:rPr>
        <w:t>1</w:t>
      </w:r>
      <w:r>
        <w:rPr>
          <w:rFonts w:hint="eastAsia" w:ascii="宋体" w:hAnsi="宋体" w:cs="宋体"/>
          <w:b/>
          <w:color w:val="000000"/>
          <w:sz w:val="24"/>
          <w:szCs w:val="24"/>
        </w:rPr>
        <w:t>9</w:t>
      </w:r>
      <w:r>
        <w:rPr>
          <w:rFonts w:hint="eastAsia" w:ascii="宋体" w:hAnsi="宋体" w:cs="宋体"/>
          <w:b/>
          <w:color w:val="000000"/>
          <w:sz w:val="24"/>
          <w:szCs w:val="24"/>
          <w:lang w:val="zh-CN"/>
        </w:rPr>
        <w:t xml:space="preserve">.5.1 </w:t>
      </w:r>
      <w:r>
        <w:rPr>
          <w:rFonts w:hint="eastAsia" w:ascii="宋体" w:hAnsi="宋体" w:cs="宋体"/>
          <w:color w:val="000000"/>
          <w:sz w:val="24"/>
          <w:szCs w:val="24"/>
          <w:lang w:val="zh-CN"/>
        </w:rPr>
        <w:t>对于</w:t>
      </w:r>
      <w:r>
        <w:rPr>
          <w:rFonts w:hint="eastAsia" w:ascii="宋体" w:hAnsi="宋体" w:cs="宋体"/>
          <w:color w:val="000000"/>
          <w:sz w:val="24"/>
          <w:szCs w:val="24"/>
        </w:rPr>
        <w:t>资格审查</w:t>
      </w:r>
      <w:r>
        <w:rPr>
          <w:rFonts w:hint="eastAsia" w:ascii="宋体" w:hAnsi="宋体" w:cs="宋体"/>
          <w:color w:val="000000"/>
          <w:sz w:val="24"/>
          <w:szCs w:val="24"/>
          <w:lang w:val="zh-CN"/>
        </w:rPr>
        <w:t>合格的投标人，评标委员会将审查其投标文件技术部分是否对招标文件规定的事项、格式、条款和技术规格等要求都做出了实质性响应。</w:t>
      </w:r>
    </w:p>
    <w:p w14:paraId="5A931150">
      <w:pPr>
        <w:autoSpaceDE w:val="0"/>
        <w:autoSpaceDN w:val="0"/>
        <w:adjustRightInd w:val="0"/>
        <w:spacing w:line="360" w:lineRule="auto"/>
        <w:ind w:firstLine="482"/>
        <w:rPr>
          <w:rFonts w:hint="eastAsia" w:ascii="宋体" w:hAnsi="宋体" w:cs="宋体"/>
          <w:b/>
          <w:color w:val="000000"/>
          <w:sz w:val="24"/>
          <w:szCs w:val="24"/>
          <w:lang w:val="zh-CN"/>
        </w:rPr>
      </w:pPr>
      <w:r>
        <w:rPr>
          <w:rFonts w:hint="eastAsia" w:ascii="宋体" w:hAnsi="宋体" w:cs="宋体"/>
          <w:b/>
          <w:color w:val="000000"/>
          <w:sz w:val="24"/>
          <w:szCs w:val="24"/>
          <w:lang w:val="zh-CN"/>
        </w:rPr>
        <w:t>1</w:t>
      </w:r>
      <w:r>
        <w:rPr>
          <w:rFonts w:hint="eastAsia" w:ascii="宋体" w:hAnsi="宋体" w:cs="宋体"/>
          <w:b/>
          <w:color w:val="000000"/>
          <w:sz w:val="24"/>
          <w:szCs w:val="24"/>
        </w:rPr>
        <w:t>9</w:t>
      </w:r>
      <w:r>
        <w:rPr>
          <w:rFonts w:hint="eastAsia" w:ascii="宋体" w:hAnsi="宋体" w:cs="宋体"/>
          <w:b/>
          <w:color w:val="000000"/>
          <w:sz w:val="24"/>
          <w:szCs w:val="24"/>
          <w:lang w:val="zh-CN"/>
        </w:rPr>
        <w:t xml:space="preserve">.5.2 </w:t>
      </w:r>
      <w:r>
        <w:rPr>
          <w:rFonts w:hint="eastAsia" w:ascii="宋体" w:hAnsi="宋体" w:cs="宋体"/>
          <w:color w:val="000000"/>
          <w:sz w:val="24"/>
          <w:szCs w:val="24"/>
          <w:lang w:val="zh-CN"/>
        </w:rPr>
        <w:t>实质性响应的投标是指与招标文件规定的事项、条款、条件和技术规格相符，没有重大偏离和保留。没有实质性响应招标文件要求的投标将被拒绝。</w:t>
      </w:r>
    </w:p>
    <w:p w14:paraId="570C22C5">
      <w:pPr>
        <w:autoSpaceDE w:val="0"/>
        <w:autoSpaceDN w:val="0"/>
        <w:adjustRightInd w:val="0"/>
        <w:spacing w:line="360" w:lineRule="auto"/>
        <w:ind w:firstLine="480"/>
        <w:rPr>
          <w:rFonts w:hint="eastAsia" w:ascii="宋体" w:hAnsi="宋体" w:cs="宋体"/>
          <w:color w:val="000000"/>
          <w:sz w:val="24"/>
          <w:szCs w:val="24"/>
          <w:lang w:val="zh-CN"/>
        </w:rPr>
      </w:pPr>
      <w:r>
        <w:rPr>
          <w:rFonts w:hint="eastAsia" w:ascii="宋体" w:hAnsi="宋体" w:cs="宋体"/>
          <w:b/>
          <w:color w:val="000000"/>
          <w:sz w:val="24"/>
          <w:szCs w:val="24"/>
          <w:lang w:val="zh-CN"/>
        </w:rPr>
        <w:t>1</w:t>
      </w:r>
      <w:r>
        <w:rPr>
          <w:rFonts w:hint="eastAsia" w:ascii="宋体" w:hAnsi="宋体" w:cs="宋体"/>
          <w:b/>
          <w:color w:val="000000"/>
          <w:sz w:val="24"/>
          <w:szCs w:val="24"/>
        </w:rPr>
        <w:t>9</w:t>
      </w:r>
      <w:r>
        <w:rPr>
          <w:rFonts w:hint="eastAsia" w:ascii="宋体" w:hAnsi="宋体" w:cs="宋体"/>
          <w:b/>
          <w:color w:val="000000"/>
          <w:sz w:val="24"/>
          <w:szCs w:val="24"/>
          <w:lang w:val="zh-CN"/>
        </w:rPr>
        <w:t xml:space="preserve">.6 </w:t>
      </w:r>
      <w:r>
        <w:rPr>
          <w:rFonts w:hint="eastAsia" w:ascii="宋体" w:hAnsi="宋体" w:cs="宋体"/>
          <w:color w:val="000000"/>
          <w:sz w:val="24"/>
          <w:szCs w:val="24"/>
          <w:lang w:val="zh-CN"/>
        </w:rPr>
        <w:t>重大偏离和保留是指实质上影响合同的供货范围、质量和性能，或者实质上限制了合同中采购人的权利或投标人的义务。投标文件有下列情形之一的属于重大偏离和保留，将作废标处理：</w:t>
      </w:r>
    </w:p>
    <w:p w14:paraId="079ED150">
      <w:pPr>
        <w:autoSpaceDE w:val="0"/>
        <w:autoSpaceDN w:val="0"/>
        <w:adjustRightInd w:val="0"/>
        <w:spacing w:line="360" w:lineRule="auto"/>
        <w:ind w:firstLine="480"/>
        <w:rPr>
          <w:rFonts w:hint="eastAsia" w:ascii="宋体" w:hAnsi="宋体" w:cs="宋体"/>
          <w:color w:val="000000"/>
          <w:sz w:val="24"/>
          <w:szCs w:val="24"/>
          <w:lang w:val="zh-CN"/>
        </w:rPr>
      </w:pPr>
      <w:r>
        <w:rPr>
          <w:rFonts w:hint="eastAsia" w:ascii="宋体" w:hAnsi="宋体" w:cs="宋体"/>
          <w:color w:val="000000"/>
          <w:sz w:val="24"/>
          <w:szCs w:val="24"/>
          <w:lang w:val="zh-CN"/>
        </w:rPr>
        <w:t>（1）投标人未按招标文件规定提交所要求提交的全部文件或者提交的文件无效或者不符合招标文件的规定；</w:t>
      </w:r>
    </w:p>
    <w:p w14:paraId="72D09332">
      <w:pPr>
        <w:autoSpaceDE w:val="0"/>
        <w:autoSpaceDN w:val="0"/>
        <w:adjustRightInd w:val="0"/>
        <w:spacing w:line="360" w:lineRule="auto"/>
        <w:ind w:firstLine="480"/>
        <w:rPr>
          <w:rFonts w:hint="eastAsia" w:ascii="宋体" w:hAnsi="宋体" w:cs="宋体"/>
          <w:color w:val="000000"/>
          <w:sz w:val="24"/>
          <w:szCs w:val="24"/>
          <w:lang w:val="zh-CN"/>
        </w:rPr>
      </w:pPr>
      <w:r>
        <w:rPr>
          <w:rFonts w:hint="eastAsia" w:ascii="宋体" w:hAnsi="宋体" w:cs="宋体"/>
          <w:color w:val="000000"/>
          <w:sz w:val="24"/>
          <w:szCs w:val="24"/>
          <w:lang w:val="zh-CN"/>
        </w:rPr>
        <w:t>（2）投标文件未按招标文件的规定有效签署和加盖公章；</w:t>
      </w:r>
    </w:p>
    <w:p w14:paraId="46ABDAA7">
      <w:pPr>
        <w:tabs>
          <w:tab w:val="left" w:pos="1920"/>
        </w:tabs>
        <w:autoSpaceDE w:val="0"/>
        <w:autoSpaceDN w:val="0"/>
        <w:adjustRightInd w:val="0"/>
        <w:spacing w:line="360" w:lineRule="auto"/>
        <w:ind w:firstLine="480"/>
        <w:rPr>
          <w:rFonts w:hint="eastAsia" w:ascii="宋体" w:hAnsi="宋体" w:cs="宋体"/>
          <w:color w:val="000000"/>
          <w:sz w:val="24"/>
          <w:szCs w:val="24"/>
          <w:lang w:val="zh-CN"/>
        </w:rPr>
      </w:pPr>
      <w:r>
        <w:rPr>
          <w:rFonts w:hint="eastAsia" w:ascii="宋体" w:hAnsi="宋体" w:cs="宋体"/>
          <w:color w:val="000000"/>
          <w:sz w:val="24"/>
          <w:szCs w:val="24"/>
          <w:lang w:val="zh-CN"/>
        </w:rPr>
        <w:t>（3）投标文件载明的项目完成期限超过招标文件规定的期限；</w:t>
      </w:r>
    </w:p>
    <w:p w14:paraId="49F00B50">
      <w:pPr>
        <w:tabs>
          <w:tab w:val="left" w:pos="1920"/>
        </w:tabs>
        <w:autoSpaceDE w:val="0"/>
        <w:autoSpaceDN w:val="0"/>
        <w:adjustRightInd w:val="0"/>
        <w:spacing w:line="360" w:lineRule="auto"/>
        <w:ind w:firstLine="480"/>
        <w:rPr>
          <w:rFonts w:hint="eastAsia" w:ascii="宋体" w:hAnsi="宋体" w:cs="宋体"/>
          <w:color w:val="000000"/>
          <w:sz w:val="24"/>
          <w:szCs w:val="24"/>
          <w:lang w:val="zh-CN"/>
        </w:rPr>
      </w:pPr>
      <w:r>
        <w:rPr>
          <w:rFonts w:hint="eastAsia" w:ascii="宋体" w:hAnsi="宋体" w:cs="宋体"/>
          <w:color w:val="000000"/>
          <w:sz w:val="24"/>
          <w:szCs w:val="24"/>
          <w:lang w:val="zh-CN"/>
        </w:rPr>
        <w:t>（4）投标文件不符合招标文件规定的技术规格、技术标准要求；</w:t>
      </w:r>
    </w:p>
    <w:p w14:paraId="18EEE351">
      <w:pPr>
        <w:tabs>
          <w:tab w:val="left" w:pos="1920"/>
        </w:tabs>
        <w:autoSpaceDE w:val="0"/>
        <w:autoSpaceDN w:val="0"/>
        <w:adjustRightInd w:val="0"/>
        <w:spacing w:line="360" w:lineRule="auto"/>
        <w:ind w:firstLine="480"/>
        <w:rPr>
          <w:rFonts w:hint="eastAsia" w:ascii="宋体" w:hAnsi="宋体" w:cs="宋体"/>
          <w:color w:val="000000"/>
          <w:sz w:val="24"/>
          <w:szCs w:val="24"/>
          <w:lang w:val="zh-CN"/>
        </w:rPr>
      </w:pPr>
      <w:r>
        <w:rPr>
          <w:rFonts w:hint="eastAsia" w:ascii="宋体" w:hAnsi="宋体" w:cs="宋体"/>
          <w:color w:val="000000"/>
          <w:sz w:val="24"/>
          <w:szCs w:val="24"/>
          <w:lang w:val="zh-CN"/>
        </w:rPr>
        <w:t>（5）投标文件载明的货物包装方式、检验方法和标准等不符合招标文件要求；</w:t>
      </w:r>
    </w:p>
    <w:p w14:paraId="1F935971">
      <w:pPr>
        <w:tabs>
          <w:tab w:val="left" w:pos="1920"/>
        </w:tabs>
        <w:autoSpaceDE w:val="0"/>
        <w:autoSpaceDN w:val="0"/>
        <w:adjustRightInd w:val="0"/>
        <w:spacing w:line="360" w:lineRule="auto"/>
        <w:ind w:firstLine="480"/>
        <w:rPr>
          <w:rFonts w:hint="eastAsia" w:ascii="宋体" w:hAnsi="宋体" w:cs="宋体"/>
          <w:color w:val="000000"/>
          <w:sz w:val="24"/>
          <w:szCs w:val="24"/>
          <w:lang w:val="zh-CN"/>
        </w:rPr>
      </w:pPr>
      <w:r>
        <w:rPr>
          <w:rFonts w:hint="eastAsia" w:ascii="宋体" w:hAnsi="宋体" w:cs="宋体"/>
          <w:color w:val="000000"/>
          <w:sz w:val="24"/>
          <w:szCs w:val="24"/>
          <w:lang w:val="zh-CN"/>
        </w:rPr>
        <w:t>（6）投标文件附有采购人不能接受的条件；</w:t>
      </w:r>
    </w:p>
    <w:p w14:paraId="72DB14AC">
      <w:pPr>
        <w:autoSpaceDE w:val="0"/>
        <w:autoSpaceDN w:val="0"/>
        <w:adjustRightInd w:val="0"/>
        <w:spacing w:line="360" w:lineRule="auto"/>
        <w:ind w:firstLine="480"/>
        <w:rPr>
          <w:rFonts w:hint="eastAsia" w:ascii="宋体" w:hAnsi="宋体" w:cs="宋体"/>
          <w:color w:val="000000"/>
          <w:sz w:val="24"/>
          <w:szCs w:val="24"/>
          <w:lang w:val="zh-CN"/>
        </w:rPr>
      </w:pPr>
      <w:r>
        <w:rPr>
          <w:rFonts w:hint="eastAsia" w:ascii="宋体" w:hAnsi="宋体" w:cs="宋体"/>
          <w:color w:val="000000"/>
          <w:sz w:val="24"/>
          <w:szCs w:val="24"/>
          <w:lang w:val="zh-CN"/>
        </w:rPr>
        <w:t>（7）不符合招标文件规定的其他实质性要求。</w:t>
      </w:r>
    </w:p>
    <w:p w14:paraId="59B4F568">
      <w:pPr>
        <w:spacing w:line="360" w:lineRule="auto"/>
        <w:ind w:firstLine="482" w:firstLineChars="200"/>
        <w:rPr>
          <w:rFonts w:hint="eastAsia" w:ascii="宋体" w:hAnsi="宋体" w:cs="宋体"/>
          <w:color w:val="000000"/>
          <w:sz w:val="24"/>
          <w:szCs w:val="24"/>
          <w:lang w:val="zh-CN"/>
        </w:rPr>
      </w:pPr>
      <w:r>
        <w:rPr>
          <w:rFonts w:hint="eastAsia" w:ascii="宋体" w:hAnsi="宋体" w:cs="宋体"/>
          <w:b/>
          <w:color w:val="000000"/>
          <w:sz w:val="24"/>
          <w:szCs w:val="24"/>
          <w:lang w:val="zh-CN"/>
        </w:rPr>
        <w:t>1</w:t>
      </w:r>
      <w:r>
        <w:rPr>
          <w:rFonts w:hint="eastAsia" w:ascii="宋体" w:hAnsi="宋体" w:cs="宋体"/>
          <w:b/>
          <w:color w:val="000000"/>
          <w:sz w:val="24"/>
          <w:szCs w:val="24"/>
        </w:rPr>
        <w:t>9</w:t>
      </w:r>
      <w:r>
        <w:rPr>
          <w:rFonts w:hint="eastAsia" w:ascii="宋体" w:hAnsi="宋体" w:cs="宋体"/>
          <w:b/>
          <w:color w:val="000000"/>
          <w:sz w:val="24"/>
          <w:szCs w:val="24"/>
          <w:lang w:val="zh-CN"/>
        </w:rPr>
        <w:t xml:space="preserve">.7 </w:t>
      </w:r>
      <w:r>
        <w:rPr>
          <w:rFonts w:hint="eastAsia" w:ascii="宋体" w:hAnsi="宋体" w:cs="宋体"/>
          <w:color w:val="000000"/>
          <w:sz w:val="24"/>
          <w:szCs w:val="24"/>
          <w:lang w:val="zh-CN"/>
        </w:rPr>
        <w:t>评标委员会将允许修正投标文件中不构成重大偏离的细微偏离，但这些修正应不会对实质上响应招标文件要求的投标人的竞争地位（相互排序）产生不公正的影响。</w:t>
      </w:r>
    </w:p>
    <w:p w14:paraId="0E37786B">
      <w:pPr>
        <w:autoSpaceDE w:val="0"/>
        <w:autoSpaceDN w:val="0"/>
        <w:adjustRightInd w:val="0"/>
        <w:spacing w:line="360" w:lineRule="auto"/>
        <w:ind w:firstLine="480"/>
        <w:rPr>
          <w:rFonts w:hint="eastAsia" w:ascii="宋体" w:hAnsi="宋体" w:cs="宋体"/>
          <w:bCs/>
          <w:color w:val="000000"/>
          <w:sz w:val="24"/>
          <w:szCs w:val="24"/>
          <w:lang w:val="zh-CN"/>
        </w:rPr>
      </w:pPr>
      <w:r>
        <w:rPr>
          <w:rFonts w:hint="eastAsia" w:ascii="宋体" w:hAnsi="宋体" w:cs="宋体"/>
          <w:b/>
          <w:color w:val="000000"/>
          <w:sz w:val="24"/>
          <w:szCs w:val="24"/>
          <w:lang w:val="zh-CN"/>
        </w:rPr>
        <w:t>1</w:t>
      </w:r>
      <w:r>
        <w:rPr>
          <w:rFonts w:hint="eastAsia" w:ascii="宋体" w:hAnsi="宋体" w:cs="宋体"/>
          <w:b/>
          <w:color w:val="000000"/>
          <w:sz w:val="24"/>
          <w:szCs w:val="24"/>
        </w:rPr>
        <w:t>9</w:t>
      </w:r>
      <w:r>
        <w:rPr>
          <w:rFonts w:hint="eastAsia" w:ascii="宋体" w:hAnsi="宋体" w:cs="宋体"/>
          <w:b/>
          <w:color w:val="000000"/>
          <w:sz w:val="24"/>
          <w:szCs w:val="24"/>
          <w:lang w:val="zh-CN"/>
        </w:rPr>
        <w:t xml:space="preserve">.8 </w:t>
      </w:r>
      <w:r>
        <w:rPr>
          <w:rFonts w:hint="eastAsia" w:ascii="宋体" w:hAnsi="宋体" w:cs="宋体"/>
          <w:bCs/>
          <w:color w:val="000000"/>
          <w:sz w:val="24"/>
          <w:szCs w:val="24"/>
          <w:lang w:val="zh-CN"/>
        </w:rPr>
        <w:t>评标委员会对投标文件的判定，只依据投标文件内容本身，不依据任何外来证明。</w:t>
      </w:r>
    </w:p>
    <w:p w14:paraId="011347FD">
      <w:pPr>
        <w:autoSpaceDE w:val="0"/>
        <w:autoSpaceDN w:val="0"/>
        <w:adjustRightInd w:val="0"/>
        <w:spacing w:line="360" w:lineRule="auto"/>
        <w:ind w:firstLine="482"/>
        <w:rPr>
          <w:rFonts w:hint="eastAsia" w:ascii="宋体" w:hAnsi="宋体" w:cs="宋体"/>
          <w:b/>
          <w:color w:val="000000"/>
          <w:sz w:val="24"/>
          <w:szCs w:val="24"/>
          <w:lang w:val="zh-CN"/>
        </w:rPr>
      </w:pPr>
      <w:r>
        <w:rPr>
          <w:rFonts w:hint="eastAsia" w:ascii="宋体" w:hAnsi="宋体" w:cs="宋体"/>
          <w:b/>
          <w:color w:val="000000"/>
          <w:sz w:val="24"/>
          <w:szCs w:val="24"/>
          <w:lang w:val="zh-CN"/>
        </w:rPr>
        <w:t>1</w:t>
      </w:r>
      <w:r>
        <w:rPr>
          <w:rFonts w:hint="eastAsia" w:ascii="宋体" w:hAnsi="宋体" w:cs="宋体"/>
          <w:b/>
          <w:color w:val="000000"/>
          <w:sz w:val="24"/>
          <w:szCs w:val="24"/>
        </w:rPr>
        <w:t>9</w:t>
      </w:r>
      <w:r>
        <w:rPr>
          <w:rFonts w:hint="eastAsia" w:ascii="宋体" w:hAnsi="宋体" w:cs="宋体"/>
          <w:b/>
          <w:color w:val="000000"/>
          <w:sz w:val="24"/>
          <w:szCs w:val="24"/>
          <w:lang w:val="zh-CN"/>
        </w:rPr>
        <w:t>.9 投标报价的审查：</w:t>
      </w:r>
    </w:p>
    <w:p w14:paraId="5BBD6157">
      <w:pPr>
        <w:spacing w:line="360" w:lineRule="auto"/>
        <w:ind w:firstLine="480" w:firstLineChars="200"/>
        <w:rPr>
          <w:rFonts w:hint="eastAsia" w:ascii="宋体" w:hAnsi="宋体" w:cs="宋体"/>
          <w:color w:val="000000"/>
          <w:sz w:val="24"/>
          <w:szCs w:val="24"/>
          <w:lang w:val="zh-CN"/>
        </w:rPr>
      </w:pPr>
      <w:r>
        <w:rPr>
          <w:rFonts w:hint="eastAsia" w:ascii="宋体" w:hAnsi="宋体" w:cs="宋体"/>
          <w:color w:val="000000"/>
          <w:sz w:val="24"/>
          <w:szCs w:val="24"/>
        </w:rPr>
        <w:t>19</w:t>
      </w:r>
      <w:r>
        <w:rPr>
          <w:rFonts w:hint="eastAsia" w:ascii="宋体" w:hAnsi="宋体" w:cs="宋体"/>
          <w:color w:val="000000"/>
          <w:sz w:val="24"/>
          <w:szCs w:val="24"/>
          <w:lang w:val="zh-CN"/>
        </w:rPr>
        <w:t>.</w:t>
      </w:r>
      <w:r>
        <w:rPr>
          <w:rFonts w:hint="eastAsia" w:ascii="宋体" w:hAnsi="宋体" w:cs="宋体"/>
          <w:color w:val="000000"/>
          <w:sz w:val="24"/>
          <w:szCs w:val="24"/>
        </w:rPr>
        <w:t>9</w:t>
      </w:r>
      <w:r>
        <w:rPr>
          <w:rFonts w:hint="eastAsia" w:ascii="宋体" w:hAnsi="宋体" w:cs="宋体"/>
          <w:color w:val="000000"/>
          <w:sz w:val="24"/>
          <w:szCs w:val="24"/>
          <w:lang w:val="zh-CN"/>
        </w:rPr>
        <w:t xml:space="preserve">.1 招标文件对于报价修正是否另有规定： </w:t>
      </w:r>
    </w:p>
    <w:p w14:paraId="0B4C3BCC">
      <w:pPr>
        <w:spacing w:line="360" w:lineRule="auto"/>
        <w:ind w:firstLine="1920" w:firstLineChars="800"/>
        <w:rPr>
          <w:rFonts w:hint="eastAsia" w:ascii="宋体" w:hAnsi="宋体" w:cs="宋体"/>
          <w:color w:val="000000"/>
          <w:sz w:val="24"/>
          <w:szCs w:val="24"/>
          <w:lang w:val="zh-CN"/>
        </w:rPr>
      </w:pPr>
      <w:r>
        <w:rPr>
          <w:rFonts w:hint="eastAsia" w:ascii="宋体" w:hAnsi="宋体" w:cs="宋体"/>
          <w:color w:val="000000"/>
          <w:sz w:val="24"/>
          <w:szCs w:val="24"/>
          <w:lang w:val="zh-CN"/>
        </w:rPr>
        <w:t xml:space="preserve">□有，具体规定为：______________ </w:t>
      </w:r>
    </w:p>
    <w:p w14:paraId="069EC35A">
      <w:pPr>
        <w:spacing w:line="360" w:lineRule="auto"/>
        <w:ind w:firstLine="1920" w:firstLineChars="800"/>
        <w:rPr>
          <w:rFonts w:hint="eastAsia" w:ascii="宋体" w:hAnsi="宋体" w:cs="宋体"/>
          <w:color w:val="000000"/>
          <w:sz w:val="24"/>
          <w:szCs w:val="24"/>
          <w:lang w:val="zh-CN"/>
        </w:rPr>
      </w:pPr>
      <w:r>
        <w:rPr>
          <w:rFonts w:ascii="Segoe UI Symbol" w:hAnsi="Segoe UI Symbol" w:cs="Segoe UI Symbol"/>
          <w:color w:val="000000"/>
          <w:sz w:val="24"/>
          <w:szCs w:val="24"/>
          <w:lang w:val="zh-CN"/>
        </w:rPr>
        <w:t>☑</w:t>
      </w:r>
      <w:r>
        <w:rPr>
          <w:rFonts w:hint="eastAsia" w:ascii="宋体" w:hAnsi="宋体" w:cs="宋体"/>
          <w:color w:val="000000"/>
          <w:sz w:val="24"/>
          <w:szCs w:val="24"/>
          <w:lang w:val="zh-CN"/>
        </w:rPr>
        <w:t xml:space="preserve">无，按下述 </w:t>
      </w:r>
      <w:r>
        <w:rPr>
          <w:rFonts w:hint="eastAsia" w:ascii="宋体" w:hAnsi="宋体" w:cs="宋体"/>
          <w:color w:val="000000"/>
          <w:sz w:val="24"/>
          <w:szCs w:val="24"/>
        </w:rPr>
        <w:t>19</w:t>
      </w:r>
      <w:r>
        <w:rPr>
          <w:rFonts w:hint="eastAsia" w:ascii="宋体" w:hAnsi="宋体" w:cs="宋体"/>
          <w:color w:val="000000"/>
          <w:sz w:val="24"/>
          <w:szCs w:val="24"/>
          <w:lang w:val="zh-CN"/>
        </w:rPr>
        <w:t>.</w:t>
      </w:r>
      <w:r>
        <w:rPr>
          <w:rFonts w:hint="eastAsia" w:ascii="宋体" w:hAnsi="宋体" w:cs="宋体"/>
          <w:color w:val="000000"/>
          <w:sz w:val="24"/>
          <w:szCs w:val="24"/>
        </w:rPr>
        <w:t>9</w:t>
      </w:r>
      <w:r>
        <w:rPr>
          <w:rFonts w:hint="eastAsia" w:ascii="宋体" w:hAnsi="宋体" w:cs="宋体"/>
          <w:color w:val="000000"/>
          <w:sz w:val="24"/>
          <w:szCs w:val="24"/>
          <w:lang w:val="zh-CN"/>
        </w:rPr>
        <w:t>.2-</w:t>
      </w:r>
      <w:r>
        <w:rPr>
          <w:rFonts w:hint="eastAsia" w:ascii="宋体" w:hAnsi="宋体" w:cs="宋体"/>
          <w:color w:val="000000"/>
          <w:sz w:val="24"/>
          <w:szCs w:val="24"/>
        </w:rPr>
        <w:t>19</w:t>
      </w:r>
      <w:r>
        <w:rPr>
          <w:rFonts w:hint="eastAsia" w:ascii="宋体" w:hAnsi="宋体" w:cs="宋体"/>
          <w:color w:val="000000"/>
          <w:sz w:val="24"/>
          <w:szCs w:val="24"/>
          <w:lang w:val="zh-CN"/>
        </w:rPr>
        <w:t>.</w:t>
      </w:r>
      <w:r>
        <w:rPr>
          <w:rFonts w:hint="eastAsia" w:ascii="宋体" w:hAnsi="宋体" w:cs="宋体"/>
          <w:color w:val="000000"/>
          <w:sz w:val="24"/>
          <w:szCs w:val="24"/>
        </w:rPr>
        <w:t>9</w:t>
      </w:r>
      <w:r>
        <w:rPr>
          <w:rFonts w:hint="eastAsia" w:ascii="宋体" w:hAnsi="宋体" w:cs="宋体"/>
          <w:color w:val="000000"/>
          <w:sz w:val="24"/>
          <w:szCs w:val="24"/>
          <w:lang w:val="zh-CN"/>
        </w:rPr>
        <w:t>.</w:t>
      </w:r>
      <w:r>
        <w:rPr>
          <w:rFonts w:hint="eastAsia" w:ascii="宋体" w:hAnsi="宋体" w:cs="宋体"/>
          <w:color w:val="000000"/>
          <w:sz w:val="24"/>
          <w:szCs w:val="24"/>
        </w:rPr>
        <w:t>7</w:t>
      </w:r>
      <w:r>
        <w:rPr>
          <w:rFonts w:hint="eastAsia" w:ascii="宋体" w:hAnsi="宋体" w:cs="宋体"/>
          <w:color w:val="000000"/>
          <w:sz w:val="24"/>
          <w:szCs w:val="24"/>
          <w:lang w:val="zh-CN"/>
        </w:rPr>
        <w:t xml:space="preserve"> 项规定修正。 </w:t>
      </w:r>
    </w:p>
    <w:p w14:paraId="13B8F6B1">
      <w:pPr>
        <w:spacing w:line="360" w:lineRule="auto"/>
        <w:ind w:firstLine="480" w:firstLineChars="200"/>
        <w:rPr>
          <w:rFonts w:hint="eastAsia" w:ascii="宋体" w:hAnsi="宋体" w:cs="宋体"/>
          <w:color w:val="000000"/>
          <w:sz w:val="24"/>
          <w:szCs w:val="24"/>
          <w:lang w:val="zh-CN"/>
        </w:rPr>
      </w:pPr>
      <w:r>
        <w:rPr>
          <w:rFonts w:hint="eastAsia" w:ascii="宋体" w:hAnsi="宋体" w:cs="宋体"/>
          <w:color w:val="000000"/>
          <w:sz w:val="24"/>
          <w:szCs w:val="24"/>
        </w:rPr>
        <w:t>19</w:t>
      </w:r>
      <w:r>
        <w:rPr>
          <w:rFonts w:hint="eastAsia" w:ascii="宋体" w:hAnsi="宋体" w:cs="宋体"/>
          <w:color w:val="000000"/>
          <w:sz w:val="24"/>
          <w:szCs w:val="24"/>
          <w:lang w:val="zh-CN"/>
        </w:rPr>
        <w:t>.</w:t>
      </w:r>
      <w:r>
        <w:rPr>
          <w:rFonts w:hint="eastAsia" w:ascii="宋体" w:hAnsi="宋体" w:cs="宋体"/>
          <w:color w:val="000000"/>
          <w:sz w:val="24"/>
          <w:szCs w:val="24"/>
        </w:rPr>
        <w:t>9</w:t>
      </w:r>
      <w:r>
        <w:rPr>
          <w:rFonts w:hint="eastAsia" w:ascii="宋体" w:hAnsi="宋体" w:cs="宋体"/>
          <w:color w:val="000000"/>
          <w:sz w:val="24"/>
          <w:szCs w:val="24"/>
          <w:lang w:val="zh-CN"/>
        </w:rPr>
        <w:t xml:space="preserve">.2 单独递交的开标一览表（报价表）与投标文件中开标一览表（报价表） </w:t>
      </w:r>
    </w:p>
    <w:p w14:paraId="39DC911C">
      <w:pPr>
        <w:spacing w:line="360" w:lineRule="auto"/>
        <w:ind w:firstLine="480" w:firstLineChars="200"/>
        <w:rPr>
          <w:rFonts w:hint="eastAsia" w:ascii="宋体" w:hAnsi="宋体" w:cs="宋体"/>
          <w:color w:val="000000"/>
          <w:sz w:val="24"/>
          <w:szCs w:val="24"/>
          <w:lang w:val="zh-CN"/>
        </w:rPr>
      </w:pPr>
      <w:r>
        <w:rPr>
          <w:rFonts w:hint="eastAsia" w:ascii="宋体" w:hAnsi="宋体" w:cs="宋体"/>
          <w:color w:val="000000"/>
          <w:sz w:val="24"/>
          <w:szCs w:val="24"/>
          <w:lang w:val="zh-CN"/>
        </w:rPr>
        <w:t xml:space="preserve">内容不一致的，以单独递交的开标一览表（报价表）为准； </w:t>
      </w:r>
    </w:p>
    <w:p w14:paraId="5DB7AA79">
      <w:pPr>
        <w:spacing w:line="360" w:lineRule="auto"/>
        <w:ind w:firstLine="480" w:firstLineChars="200"/>
        <w:rPr>
          <w:rFonts w:hint="eastAsia" w:ascii="宋体" w:hAnsi="宋体" w:cs="宋体"/>
          <w:color w:val="000000"/>
          <w:sz w:val="24"/>
          <w:szCs w:val="24"/>
          <w:lang w:val="zh-CN"/>
        </w:rPr>
      </w:pPr>
      <w:r>
        <w:rPr>
          <w:rFonts w:hint="eastAsia" w:ascii="宋体" w:hAnsi="宋体" w:cs="宋体"/>
          <w:color w:val="000000"/>
          <w:sz w:val="24"/>
          <w:szCs w:val="24"/>
        </w:rPr>
        <w:t>19</w:t>
      </w:r>
      <w:r>
        <w:rPr>
          <w:rFonts w:hint="eastAsia" w:ascii="宋体" w:hAnsi="宋体" w:cs="宋体"/>
          <w:color w:val="000000"/>
          <w:sz w:val="24"/>
          <w:szCs w:val="24"/>
          <w:lang w:val="zh-CN"/>
        </w:rPr>
        <w:t>.</w:t>
      </w:r>
      <w:r>
        <w:rPr>
          <w:rFonts w:hint="eastAsia" w:ascii="宋体" w:hAnsi="宋体" w:cs="宋体"/>
          <w:color w:val="000000"/>
          <w:sz w:val="24"/>
          <w:szCs w:val="24"/>
        </w:rPr>
        <w:t>9</w:t>
      </w:r>
      <w:r>
        <w:rPr>
          <w:rFonts w:hint="eastAsia" w:ascii="宋体" w:hAnsi="宋体" w:cs="宋体"/>
          <w:color w:val="000000"/>
          <w:sz w:val="24"/>
          <w:szCs w:val="24"/>
          <w:lang w:val="zh-CN"/>
        </w:rPr>
        <w:t xml:space="preserve">.3 投标文件中开标一览表（报价表）内容与投标文件中相应内容不一致 </w:t>
      </w:r>
    </w:p>
    <w:p w14:paraId="6A13D2D9">
      <w:pPr>
        <w:spacing w:line="360" w:lineRule="auto"/>
        <w:ind w:firstLine="480" w:firstLineChars="200"/>
        <w:rPr>
          <w:rFonts w:hint="eastAsia" w:ascii="宋体" w:hAnsi="宋体" w:cs="宋体"/>
          <w:color w:val="000000"/>
          <w:sz w:val="24"/>
          <w:szCs w:val="24"/>
          <w:lang w:val="zh-CN"/>
        </w:rPr>
      </w:pPr>
      <w:r>
        <w:rPr>
          <w:rFonts w:hint="eastAsia" w:ascii="宋体" w:hAnsi="宋体" w:cs="宋体"/>
          <w:color w:val="000000"/>
          <w:sz w:val="24"/>
          <w:szCs w:val="24"/>
          <w:lang w:val="zh-CN"/>
        </w:rPr>
        <w:t xml:space="preserve">的，以开标一览表（报价表）为准； </w:t>
      </w:r>
    </w:p>
    <w:p w14:paraId="158CC872">
      <w:pPr>
        <w:spacing w:line="360" w:lineRule="auto"/>
        <w:ind w:firstLine="480" w:firstLineChars="200"/>
        <w:rPr>
          <w:rFonts w:hint="eastAsia" w:ascii="宋体" w:hAnsi="宋体" w:cs="宋体"/>
          <w:color w:val="000000"/>
          <w:sz w:val="24"/>
          <w:szCs w:val="24"/>
          <w:lang w:val="zh-CN"/>
        </w:rPr>
      </w:pPr>
      <w:r>
        <w:rPr>
          <w:rFonts w:hint="eastAsia" w:ascii="宋体" w:hAnsi="宋体" w:cs="宋体"/>
          <w:color w:val="000000"/>
          <w:sz w:val="24"/>
          <w:szCs w:val="24"/>
        </w:rPr>
        <w:t>19</w:t>
      </w:r>
      <w:r>
        <w:rPr>
          <w:rFonts w:hint="eastAsia" w:ascii="宋体" w:hAnsi="宋体" w:cs="宋体"/>
          <w:color w:val="000000"/>
          <w:sz w:val="24"/>
          <w:szCs w:val="24"/>
          <w:lang w:val="zh-CN"/>
        </w:rPr>
        <w:t>.</w:t>
      </w:r>
      <w:r>
        <w:rPr>
          <w:rFonts w:hint="eastAsia" w:ascii="宋体" w:hAnsi="宋体" w:cs="宋体"/>
          <w:color w:val="000000"/>
          <w:sz w:val="24"/>
          <w:szCs w:val="24"/>
        </w:rPr>
        <w:t>9</w:t>
      </w:r>
      <w:r>
        <w:rPr>
          <w:rFonts w:hint="eastAsia" w:ascii="宋体" w:hAnsi="宋体" w:cs="宋体"/>
          <w:color w:val="000000"/>
          <w:sz w:val="24"/>
          <w:szCs w:val="24"/>
          <w:lang w:val="zh-CN"/>
        </w:rPr>
        <w:t xml:space="preserve">.4 大写金额和小写金额不一致的，以大写金额为准； </w:t>
      </w:r>
    </w:p>
    <w:p w14:paraId="54F26952">
      <w:pPr>
        <w:spacing w:line="360" w:lineRule="auto"/>
        <w:ind w:firstLine="480" w:firstLineChars="200"/>
        <w:rPr>
          <w:rFonts w:hint="eastAsia" w:ascii="宋体" w:hAnsi="宋体" w:cs="宋体"/>
          <w:color w:val="000000"/>
          <w:sz w:val="24"/>
          <w:szCs w:val="24"/>
          <w:lang w:val="zh-CN"/>
        </w:rPr>
      </w:pPr>
      <w:r>
        <w:rPr>
          <w:rFonts w:hint="eastAsia" w:ascii="宋体" w:hAnsi="宋体" w:cs="宋体"/>
          <w:color w:val="000000"/>
          <w:sz w:val="24"/>
          <w:szCs w:val="24"/>
        </w:rPr>
        <w:t>19</w:t>
      </w:r>
      <w:r>
        <w:rPr>
          <w:rFonts w:hint="eastAsia" w:ascii="宋体" w:hAnsi="宋体" w:cs="宋体"/>
          <w:color w:val="000000"/>
          <w:sz w:val="24"/>
          <w:szCs w:val="24"/>
          <w:lang w:val="zh-CN"/>
        </w:rPr>
        <w:t>.</w:t>
      </w:r>
      <w:r>
        <w:rPr>
          <w:rFonts w:hint="eastAsia" w:ascii="宋体" w:hAnsi="宋体" w:cs="宋体"/>
          <w:color w:val="000000"/>
          <w:sz w:val="24"/>
          <w:szCs w:val="24"/>
        </w:rPr>
        <w:t>9</w:t>
      </w:r>
      <w:r>
        <w:rPr>
          <w:rFonts w:hint="eastAsia" w:ascii="宋体" w:hAnsi="宋体" w:cs="宋体"/>
          <w:color w:val="000000"/>
          <w:sz w:val="24"/>
          <w:szCs w:val="24"/>
          <w:lang w:val="zh-CN"/>
        </w:rPr>
        <w:t xml:space="preserve">.5 单价金额小数点或者百分比有明显错位的，以开标一览表的总价为准， </w:t>
      </w:r>
    </w:p>
    <w:p w14:paraId="72BF598F">
      <w:pPr>
        <w:spacing w:line="360" w:lineRule="auto"/>
        <w:ind w:firstLine="480" w:firstLineChars="200"/>
        <w:rPr>
          <w:rFonts w:hint="eastAsia" w:ascii="宋体" w:hAnsi="宋体" w:cs="宋体"/>
          <w:color w:val="000000"/>
          <w:sz w:val="24"/>
          <w:szCs w:val="24"/>
          <w:lang w:val="zh-CN"/>
        </w:rPr>
      </w:pPr>
      <w:r>
        <w:rPr>
          <w:rFonts w:hint="eastAsia" w:ascii="宋体" w:hAnsi="宋体" w:cs="宋体"/>
          <w:color w:val="000000"/>
          <w:sz w:val="24"/>
          <w:szCs w:val="24"/>
          <w:lang w:val="zh-CN"/>
        </w:rPr>
        <w:t xml:space="preserve">并修改单价； </w:t>
      </w:r>
    </w:p>
    <w:p w14:paraId="31DBBCEF">
      <w:pPr>
        <w:spacing w:line="360" w:lineRule="auto"/>
        <w:ind w:firstLine="480" w:firstLineChars="200"/>
        <w:rPr>
          <w:rFonts w:hint="eastAsia" w:ascii="宋体" w:hAnsi="宋体" w:cs="宋体"/>
          <w:color w:val="000000"/>
          <w:sz w:val="24"/>
          <w:szCs w:val="24"/>
          <w:lang w:val="zh-CN"/>
        </w:rPr>
      </w:pPr>
      <w:r>
        <w:rPr>
          <w:rFonts w:hint="eastAsia" w:ascii="宋体" w:hAnsi="宋体" w:cs="宋体"/>
          <w:color w:val="000000"/>
          <w:sz w:val="24"/>
          <w:szCs w:val="24"/>
        </w:rPr>
        <w:t>19</w:t>
      </w:r>
      <w:r>
        <w:rPr>
          <w:rFonts w:hint="eastAsia" w:ascii="宋体" w:hAnsi="宋体" w:cs="宋体"/>
          <w:color w:val="000000"/>
          <w:sz w:val="24"/>
          <w:szCs w:val="24"/>
          <w:lang w:val="zh-CN"/>
        </w:rPr>
        <w:t>.</w:t>
      </w:r>
      <w:r>
        <w:rPr>
          <w:rFonts w:hint="eastAsia" w:ascii="宋体" w:hAnsi="宋体" w:cs="宋体"/>
          <w:color w:val="000000"/>
          <w:sz w:val="24"/>
          <w:szCs w:val="24"/>
        </w:rPr>
        <w:t>9</w:t>
      </w:r>
      <w:r>
        <w:rPr>
          <w:rFonts w:hint="eastAsia" w:ascii="宋体" w:hAnsi="宋体" w:cs="宋体"/>
          <w:color w:val="000000"/>
          <w:sz w:val="24"/>
          <w:szCs w:val="24"/>
          <w:lang w:val="zh-CN"/>
        </w:rPr>
        <w:t xml:space="preserve">.6 总价金额与按单价汇总金额不一致的，以单价金额计算结果为准。 </w:t>
      </w:r>
    </w:p>
    <w:p w14:paraId="55EBEB93">
      <w:pPr>
        <w:spacing w:line="360" w:lineRule="auto"/>
        <w:ind w:firstLine="480" w:firstLineChars="200"/>
        <w:rPr>
          <w:rFonts w:hint="eastAsia" w:ascii="宋体" w:hAnsi="宋体" w:cs="宋体"/>
          <w:color w:val="000000"/>
          <w:sz w:val="24"/>
          <w:szCs w:val="24"/>
          <w:lang w:val="zh-CN"/>
        </w:rPr>
      </w:pPr>
      <w:r>
        <w:rPr>
          <w:rFonts w:hint="eastAsia" w:ascii="宋体" w:hAnsi="宋体" w:cs="宋体"/>
          <w:color w:val="000000"/>
          <w:sz w:val="24"/>
          <w:szCs w:val="24"/>
        </w:rPr>
        <w:t>19</w:t>
      </w:r>
      <w:r>
        <w:rPr>
          <w:rFonts w:hint="eastAsia" w:ascii="宋体" w:hAnsi="宋体" w:cs="宋体"/>
          <w:color w:val="000000"/>
          <w:sz w:val="24"/>
          <w:szCs w:val="24"/>
          <w:lang w:val="zh-CN"/>
        </w:rPr>
        <w:t>.</w:t>
      </w:r>
      <w:r>
        <w:rPr>
          <w:rFonts w:hint="eastAsia" w:ascii="宋体" w:hAnsi="宋体" w:cs="宋体"/>
          <w:color w:val="000000"/>
          <w:sz w:val="24"/>
          <w:szCs w:val="24"/>
        </w:rPr>
        <w:t>9</w:t>
      </w:r>
      <w:r>
        <w:rPr>
          <w:rFonts w:hint="eastAsia" w:ascii="宋体" w:hAnsi="宋体" w:cs="宋体"/>
          <w:color w:val="000000"/>
          <w:sz w:val="24"/>
          <w:szCs w:val="24"/>
          <w:lang w:val="zh-CN"/>
        </w:rPr>
        <w:t xml:space="preserve">.7 同时出现两种以上不一致的，按照前款规定的顺序修正。修正后的报 </w:t>
      </w:r>
    </w:p>
    <w:p w14:paraId="56B93C92">
      <w:pPr>
        <w:spacing w:line="360" w:lineRule="auto"/>
        <w:ind w:firstLine="480" w:firstLineChars="200"/>
        <w:rPr>
          <w:rFonts w:hint="eastAsia" w:ascii="宋体" w:hAnsi="宋体" w:cs="宋体"/>
          <w:color w:val="000000"/>
          <w:sz w:val="24"/>
          <w:szCs w:val="24"/>
          <w:lang w:val="zh-CN"/>
        </w:rPr>
      </w:pPr>
      <w:r>
        <w:rPr>
          <w:rFonts w:hint="eastAsia" w:ascii="宋体" w:hAnsi="宋体" w:cs="宋体"/>
          <w:color w:val="000000"/>
          <w:sz w:val="24"/>
          <w:szCs w:val="24"/>
          <w:lang w:val="zh-CN"/>
        </w:rPr>
        <w:t>价经投标人书面确认后产生约束力，投标人不确认的，其投标无效。</w:t>
      </w:r>
    </w:p>
    <w:p w14:paraId="1B558289">
      <w:pPr>
        <w:spacing w:line="360" w:lineRule="auto"/>
        <w:ind w:firstLine="480" w:firstLineChars="200"/>
        <w:rPr>
          <w:rFonts w:hint="eastAsia" w:ascii="宋体" w:hAnsi="宋体" w:cs="宋体"/>
          <w:color w:val="000000"/>
          <w:sz w:val="24"/>
          <w:szCs w:val="24"/>
          <w:lang w:val="zh-CN"/>
        </w:rPr>
      </w:pPr>
      <w:r>
        <w:rPr>
          <w:rFonts w:hint="eastAsia" w:ascii="宋体" w:hAnsi="宋体" w:cs="宋体"/>
          <w:color w:val="000000"/>
          <w:sz w:val="24"/>
          <w:szCs w:val="24"/>
        </w:rPr>
        <w:t>19.9.8</w:t>
      </w:r>
      <w:r>
        <w:rPr>
          <w:rFonts w:hint="eastAsia" w:ascii="宋体" w:hAnsi="宋体" w:cs="宋体"/>
          <w:color w:val="000000"/>
          <w:sz w:val="24"/>
          <w:szCs w:val="24"/>
          <w:lang w:val="zh-CN"/>
        </w:rPr>
        <w:t xml:space="preserve">价格评审：除了算术修正和落实政府采购政策需进行的价格扣除外，不能对投标人的投标价格进行任何调整。 </w:t>
      </w:r>
    </w:p>
    <w:p w14:paraId="3A7D7EE9">
      <w:pPr>
        <w:spacing w:line="360" w:lineRule="auto"/>
        <w:ind w:firstLine="480" w:firstLineChars="200"/>
        <w:rPr>
          <w:rFonts w:hint="eastAsia" w:ascii="宋体" w:hAnsi="宋体" w:cs="宋体"/>
          <w:color w:val="000000"/>
          <w:sz w:val="24"/>
          <w:szCs w:val="24"/>
          <w:lang w:val="zh-CN"/>
        </w:rPr>
      </w:pPr>
      <w:r>
        <w:rPr>
          <w:rFonts w:hint="eastAsia" w:ascii="宋体" w:hAnsi="宋体" w:cs="宋体"/>
          <w:color w:val="000000"/>
          <w:sz w:val="24"/>
          <w:szCs w:val="24"/>
          <w:lang w:val="zh-CN"/>
        </w:rPr>
        <w:t>1</w:t>
      </w:r>
      <w:r>
        <w:rPr>
          <w:rFonts w:hint="eastAsia" w:ascii="宋体" w:hAnsi="宋体" w:cs="宋体"/>
          <w:color w:val="000000"/>
          <w:sz w:val="24"/>
          <w:szCs w:val="24"/>
        </w:rPr>
        <w:t>9</w:t>
      </w:r>
      <w:r>
        <w:rPr>
          <w:rFonts w:hint="eastAsia" w:ascii="宋体" w:hAnsi="宋体" w:cs="宋体"/>
          <w:color w:val="000000"/>
          <w:sz w:val="24"/>
          <w:szCs w:val="24"/>
          <w:lang w:val="zh-CN"/>
        </w:rPr>
        <w:t>.</w:t>
      </w:r>
      <w:r>
        <w:rPr>
          <w:rFonts w:hint="eastAsia" w:ascii="宋体" w:hAnsi="宋体" w:cs="宋体"/>
          <w:color w:val="000000"/>
          <w:sz w:val="24"/>
          <w:szCs w:val="24"/>
        </w:rPr>
        <w:t>9.9</w:t>
      </w:r>
      <w:r>
        <w:rPr>
          <w:rFonts w:hint="eastAsia" w:ascii="宋体" w:hAnsi="宋体" w:cs="宋体"/>
          <w:color w:val="000000"/>
          <w:sz w:val="24"/>
          <w:szCs w:val="24"/>
          <w:lang w:val="zh-CN"/>
        </w:rPr>
        <w:t xml:space="preserve"> 澄清：评标委员会对于投标文件实质性响应了招标文件要求，但在个别地方提供了不完整的技术信息和数据，以及同类问题表述不一致或者有明显文字和计算错误等细微偏离问题，将以书面形式（澄清细微偏离由评标委员会依据招标文件集体决定并由评标委员会专家签字）要求投标人在规定的时限内（在评标结束前）作出必要的澄清、说明或者补正。投标人的澄清、说明或者补正应当采用书面形式，由投标人法定代表人或其授权代理人签字（须提交签字人身份证件并与投标文件签字人一致），并不得超出投标文件的范围或者改变投标文件的实质性内容。投标人拒不进行澄清、说明、补正的，或者不能在规定时间内作出书面澄清、说明、补正的，评标委员会将拒绝其投标。</w:t>
      </w:r>
    </w:p>
    <w:p w14:paraId="7B7A92DF">
      <w:pPr>
        <w:spacing w:line="360" w:lineRule="auto"/>
        <w:ind w:firstLine="480" w:firstLineChars="200"/>
        <w:rPr>
          <w:rFonts w:hint="eastAsia" w:ascii="宋体" w:hAnsi="宋体" w:cs="宋体"/>
          <w:sz w:val="24"/>
          <w:szCs w:val="24"/>
          <w:lang w:val="zh-CN"/>
        </w:rPr>
      </w:pPr>
      <w:r>
        <w:rPr>
          <w:rFonts w:hint="eastAsia" w:ascii="宋体" w:hAnsi="宋体" w:cs="宋体"/>
          <w:sz w:val="24"/>
          <w:szCs w:val="24"/>
        </w:rPr>
        <w:t>19.9.10</w:t>
      </w:r>
      <w:r>
        <w:rPr>
          <w:rFonts w:hint="eastAsia" w:ascii="宋体" w:hAnsi="宋体" w:cs="宋体"/>
          <w:sz w:val="24"/>
          <w:szCs w:val="24"/>
          <w:lang w:val="zh-CN"/>
        </w:rPr>
        <w:t>评标委员会发现投标人的报价明显低于其他投标报价，或者在设有标底时明显低于标底，使得其投标报价可能低于其个别成本的，应当要求该投标人作出书面说明并提供相应的证明材料。投标人不能合理说明或者不能提供相应证明材料的，由评标委员会认定该投标人以低于成本报价竞标，其投标作废标处理。</w:t>
      </w:r>
    </w:p>
    <w:p w14:paraId="28617A3C">
      <w:pPr>
        <w:autoSpaceDE w:val="0"/>
        <w:autoSpaceDN w:val="0"/>
        <w:adjustRightInd w:val="0"/>
        <w:spacing w:line="360" w:lineRule="auto"/>
        <w:ind w:firstLine="482"/>
        <w:rPr>
          <w:rFonts w:hint="eastAsia" w:ascii="宋体" w:hAnsi="宋体" w:cs="宋体"/>
          <w:sz w:val="24"/>
          <w:szCs w:val="24"/>
        </w:rPr>
      </w:pPr>
      <w:r>
        <w:rPr>
          <w:rFonts w:hint="eastAsia" w:ascii="宋体" w:hAnsi="宋体" w:cs="宋体"/>
          <w:sz w:val="24"/>
          <w:szCs w:val="24"/>
        </w:rPr>
        <w:t>19.9.11 关于同一品牌产品的处理</w:t>
      </w:r>
    </w:p>
    <w:p w14:paraId="3E9B2823">
      <w:pPr>
        <w:autoSpaceDE w:val="0"/>
        <w:autoSpaceDN w:val="0"/>
        <w:adjustRightInd w:val="0"/>
        <w:spacing w:line="360" w:lineRule="auto"/>
        <w:ind w:firstLine="480" w:firstLineChars="200"/>
        <w:rPr>
          <w:rFonts w:hint="eastAsia" w:ascii="宋体" w:hAnsi="宋体" w:cs="宋体"/>
          <w:color w:val="000000"/>
          <w:sz w:val="24"/>
          <w:szCs w:val="24"/>
        </w:rPr>
      </w:pPr>
      <w:r>
        <w:rPr>
          <w:rFonts w:hint="eastAsia" w:ascii="宋体" w:hAnsi="宋体" w:cs="宋体"/>
          <w:color w:val="000000"/>
          <w:sz w:val="24"/>
          <w:szCs w:val="24"/>
        </w:rPr>
        <w:t xml:space="preserve">（1）采用最低评标价法的采购项目，提供相同品牌产品的不同供应商参加同一合同项下投标的，以其中通过资格审查、符合性审查且报价最低的参加评标；报价相同的，由采购人或者采购人委托评审委员会按照采购文件规定的方式确定一个参加评标的供应商，采购文件未规定的采取随机抽取方式确定，其他投标无效。 </w:t>
      </w:r>
    </w:p>
    <w:p w14:paraId="615FA679">
      <w:pPr>
        <w:autoSpaceDE w:val="0"/>
        <w:autoSpaceDN w:val="0"/>
        <w:adjustRightInd w:val="0"/>
        <w:spacing w:line="360" w:lineRule="auto"/>
        <w:ind w:firstLine="480" w:firstLineChars="200"/>
        <w:rPr>
          <w:rFonts w:hint="eastAsia" w:ascii="宋体" w:hAnsi="宋体" w:cs="宋体"/>
          <w:color w:val="000000"/>
          <w:sz w:val="24"/>
          <w:szCs w:val="24"/>
        </w:rPr>
      </w:pPr>
      <w:r>
        <w:rPr>
          <w:rFonts w:hint="eastAsia" w:ascii="宋体" w:hAnsi="宋体" w:cs="宋体"/>
          <w:color w:val="000000"/>
          <w:sz w:val="24"/>
          <w:szCs w:val="24"/>
        </w:rPr>
        <w:t xml:space="preserve">（2）使用综合评分法的采购项目，提供相同品牌产品且通过资格审查、符合性审查的不同供应商参加同一合同项下投标的，按一家供应商计算，评审后得分最高的同品牌供应商获得中标供应商推荐资格；评审得分相同的，由采购人或者采购人委托评审委员会按照采购文件规定的方式确定一个供应商获得中标供应商推荐资格，采购文件未规定的采取随机抽取方式确定，其他同品牌供应商不作为中标候选人。 </w:t>
      </w:r>
    </w:p>
    <w:p w14:paraId="2D824F0B">
      <w:pPr>
        <w:autoSpaceDE w:val="0"/>
        <w:autoSpaceDN w:val="0"/>
        <w:adjustRightInd w:val="0"/>
        <w:spacing w:line="360" w:lineRule="auto"/>
        <w:ind w:firstLine="482"/>
        <w:rPr>
          <w:rFonts w:hint="eastAsia" w:ascii="宋体" w:hAnsi="宋体" w:cs="宋体"/>
          <w:color w:val="000000"/>
          <w:sz w:val="24"/>
          <w:szCs w:val="24"/>
        </w:rPr>
      </w:pPr>
      <w:r>
        <w:rPr>
          <w:rFonts w:hint="eastAsia" w:ascii="宋体" w:hAnsi="宋体" w:cs="宋体"/>
          <w:color w:val="000000"/>
          <w:sz w:val="24"/>
          <w:szCs w:val="24"/>
        </w:rPr>
        <w:t>（3）非单一产品采购项目，采购人将根据采购项目技术构成、产品价格比重等因素确定核心产品，并在采购文件中载明。多家供应商提供的核心产品品牌相同的，按前两款规定处理。</w:t>
      </w:r>
    </w:p>
    <w:p w14:paraId="7B1F1FBA">
      <w:pPr>
        <w:spacing w:line="360" w:lineRule="auto"/>
        <w:rPr>
          <w:rFonts w:hint="eastAsia" w:ascii="宋体" w:hAnsi="宋体" w:cs="宋体"/>
          <w:color w:val="000000"/>
          <w:sz w:val="24"/>
          <w:szCs w:val="24"/>
          <w:lang w:val="zh-CN"/>
        </w:rPr>
      </w:pPr>
      <w:r>
        <w:rPr>
          <w:rFonts w:hint="eastAsia" w:ascii="宋体" w:hAnsi="宋体" w:cs="宋体"/>
          <w:color w:val="000000"/>
          <w:sz w:val="24"/>
          <w:szCs w:val="24"/>
          <w:lang w:val="zh-CN"/>
        </w:rPr>
        <w:t xml:space="preserve">   </w:t>
      </w:r>
      <w:r>
        <w:rPr>
          <w:rFonts w:hint="eastAsia" w:ascii="宋体" w:hAnsi="宋体" w:cs="宋体"/>
          <w:b/>
          <w:bCs/>
          <w:color w:val="000000"/>
          <w:sz w:val="24"/>
          <w:szCs w:val="24"/>
          <w:lang w:val="zh-CN"/>
        </w:rPr>
        <w:t xml:space="preserve"> 接受细微偏离有利于采购成功，不应因细微偏离而废标。</w:t>
      </w:r>
    </w:p>
    <w:p w14:paraId="74110E64">
      <w:pPr>
        <w:autoSpaceDE w:val="0"/>
        <w:autoSpaceDN w:val="0"/>
        <w:adjustRightInd w:val="0"/>
        <w:spacing w:line="360" w:lineRule="auto"/>
        <w:ind w:firstLine="482"/>
        <w:rPr>
          <w:rFonts w:hint="eastAsia" w:ascii="宋体" w:hAnsi="宋体" w:cs="宋体"/>
          <w:color w:val="000000"/>
          <w:sz w:val="24"/>
          <w:szCs w:val="24"/>
        </w:rPr>
      </w:pPr>
      <w:r>
        <w:rPr>
          <w:rFonts w:hint="eastAsia" w:ascii="宋体" w:hAnsi="宋体" w:cs="宋体"/>
          <w:b/>
          <w:color w:val="000000"/>
          <w:sz w:val="24"/>
          <w:szCs w:val="24"/>
        </w:rPr>
        <w:t>20</w:t>
      </w:r>
      <w:r>
        <w:rPr>
          <w:rFonts w:hint="eastAsia" w:ascii="宋体" w:hAnsi="宋体" w:cs="宋体"/>
          <w:b/>
          <w:color w:val="000000"/>
          <w:sz w:val="24"/>
          <w:szCs w:val="24"/>
          <w:lang w:val="zh-CN"/>
        </w:rPr>
        <w:t>.</w:t>
      </w:r>
      <w:r>
        <w:rPr>
          <w:rFonts w:hint="eastAsia" w:ascii="宋体" w:hAnsi="宋体" w:cs="宋体"/>
          <w:color w:val="000000"/>
          <w:sz w:val="24"/>
          <w:szCs w:val="24"/>
          <w:lang w:val="zh-CN"/>
        </w:rPr>
        <w:t>首次招标</w:t>
      </w:r>
      <w:r>
        <w:rPr>
          <w:rFonts w:hint="eastAsia" w:ascii="宋体" w:hAnsi="宋体" w:cs="宋体"/>
          <w:color w:val="000000"/>
          <w:sz w:val="24"/>
          <w:szCs w:val="24"/>
        </w:rPr>
        <w:t>因评标过程中出现符合专业条件的投标人或者对招标文件作实质性响应的投标人不足三家情形而废标，重新招标。</w:t>
      </w:r>
    </w:p>
    <w:p w14:paraId="4D61FADA">
      <w:pPr>
        <w:autoSpaceDE w:val="0"/>
        <w:autoSpaceDN w:val="0"/>
        <w:adjustRightInd w:val="0"/>
        <w:spacing w:line="360" w:lineRule="auto"/>
        <w:ind w:firstLine="482"/>
        <w:rPr>
          <w:rFonts w:hint="eastAsia" w:ascii="宋体" w:hAnsi="宋体" w:cs="宋体"/>
          <w:b/>
          <w:color w:val="000000"/>
          <w:sz w:val="24"/>
          <w:szCs w:val="24"/>
          <w:lang w:val="zh-CN"/>
        </w:rPr>
      </w:pPr>
      <w:r>
        <w:rPr>
          <w:rFonts w:hint="eastAsia" w:ascii="宋体" w:hAnsi="宋体" w:cs="宋体"/>
          <w:b/>
          <w:color w:val="000000"/>
          <w:sz w:val="24"/>
          <w:szCs w:val="24"/>
          <w:lang w:val="zh-CN"/>
        </w:rPr>
        <w:t>2</w:t>
      </w:r>
      <w:r>
        <w:rPr>
          <w:rFonts w:hint="eastAsia" w:ascii="宋体" w:hAnsi="宋体" w:cs="宋体"/>
          <w:b/>
          <w:color w:val="000000"/>
          <w:sz w:val="24"/>
          <w:szCs w:val="24"/>
        </w:rPr>
        <w:t>1</w:t>
      </w:r>
      <w:r>
        <w:rPr>
          <w:rFonts w:hint="eastAsia" w:ascii="宋体" w:hAnsi="宋体" w:cs="宋体"/>
          <w:b/>
          <w:color w:val="000000"/>
          <w:sz w:val="24"/>
          <w:szCs w:val="24"/>
          <w:lang w:val="zh-CN"/>
        </w:rPr>
        <w:t>. 评标方法和标准</w:t>
      </w:r>
    </w:p>
    <w:p w14:paraId="42E16605">
      <w:pPr>
        <w:autoSpaceDE w:val="0"/>
        <w:autoSpaceDN w:val="0"/>
        <w:adjustRightInd w:val="0"/>
        <w:spacing w:line="360" w:lineRule="auto"/>
        <w:ind w:firstLine="480"/>
        <w:rPr>
          <w:rFonts w:hint="eastAsia" w:ascii="宋体" w:hAnsi="宋体" w:cs="宋体"/>
          <w:color w:val="000000"/>
          <w:sz w:val="24"/>
          <w:szCs w:val="24"/>
          <w:lang w:val="zh-CN"/>
        </w:rPr>
      </w:pPr>
      <w:r>
        <w:rPr>
          <w:rFonts w:hint="eastAsia" w:ascii="宋体" w:hAnsi="宋体" w:cs="宋体"/>
          <w:color w:val="000000"/>
          <w:sz w:val="24"/>
          <w:szCs w:val="24"/>
          <w:lang w:val="zh-CN"/>
        </w:rPr>
        <w:t>2</w:t>
      </w:r>
      <w:r>
        <w:rPr>
          <w:rFonts w:hint="eastAsia" w:ascii="宋体" w:hAnsi="宋体" w:cs="宋体"/>
          <w:color w:val="000000"/>
          <w:sz w:val="24"/>
          <w:szCs w:val="24"/>
        </w:rPr>
        <w:t>1</w:t>
      </w:r>
      <w:r>
        <w:rPr>
          <w:rFonts w:hint="eastAsia" w:ascii="宋体" w:hAnsi="宋体" w:cs="宋体"/>
          <w:color w:val="000000"/>
          <w:sz w:val="24"/>
          <w:szCs w:val="24"/>
          <w:lang w:val="zh-CN"/>
        </w:rPr>
        <w:t>.1 评标委员会按照招标文件第三章“评标办法”规定的方法、评审因素、标准和程序对投标文件进行评审。第三章“评标办法”没有规定的方法、评审因素和标准，不作为评标依据。</w:t>
      </w:r>
    </w:p>
    <w:p w14:paraId="5C13AC13">
      <w:pPr>
        <w:tabs>
          <w:tab w:val="left" w:pos="3675"/>
        </w:tabs>
        <w:autoSpaceDE w:val="0"/>
        <w:autoSpaceDN w:val="0"/>
        <w:adjustRightInd w:val="0"/>
        <w:spacing w:line="360" w:lineRule="auto"/>
        <w:ind w:firstLine="482"/>
        <w:rPr>
          <w:rFonts w:hint="eastAsia" w:ascii="宋体" w:hAnsi="宋体" w:cs="宋体"/>
          <w:color w:val="000000"/>
          <w:sz w:val="24"/>
          <w:szCs w:val="24"/>
          <w:lang w:val="zh-CN"/>
        </w:rPr>
      </w:pPr>
      <w:r>
        <w:rPr>
          <w:rFonts w:hint="eastAsia" w:ascii="宋体" w:hAnsi="宋体" w:cs="宋体"/>
          <w:b/>
          <w:color w:val="000000"/>
          <w:sz w:val="24"/>
          <w:szCs w:val="24"/>
          <w:lang w:val="zh-CN"/>
        </w:rPr>
        <w:t>2</w:t>
      </w:r>
      <w:r>
        <w:rPr>
          <w:rFonts w:hint="eastAsia" w:ascii="宋体" w:hAnsi="宋体" w:cs="宋体"/>
          <w:b/>
          <w:color w:val="000000"/>
          <w:sz w:val="24"/>
          <w:szCs w:val="24"/>
        </w:rPr>
        <w:t>1</w:t>
      </w:r>
      <w:r>
        <w:rPr>
          <w:rFonts w:hint="eastAsia" w:ascii="宋体" w:hAnsi="宋体" w:cs="宋体"/>
          <w:b/>
          <w:color w:val="000000"/>
          <w:sz w:val="24"/>
          <w:szCs w:val="24"/>
          <w:lang w:val="zh-CN"/>
        </w:rPr>
        <w:t>.2 本项目采用</w:t>
      </w:r>
      <w:r>
        <w:rPr>
          <w:rFonts w:hint="eastAsia" w:ascii="宋体" w:hAnsi="宋体" w:cs="宋体"/>
          <w:b/>
          <w:color w:val="000000"/>
          <w:sz w:val="24"/>
          <w:szCs w:val="24"/>
        </w:rPr>
        <w:t>综合评分法</w:t>
      </w:r>
      <w:r>
        <w:rPr>
          <w:rFonts w:hint="eastAsia" w:ascii="宋体" w:hAnsi="宋体" w:cs="宋体"/>
          <w:b/>
          <w:color w:val="000000"/>
          <w:sz w:val="24"/>
          <w:szCs w:val="24"/>
          <w:lang w:val="zh-CN"/>
        </w:rPr>
        <w:t>：</w:t>
      </w:r>
    </w:p>
    <w:p w14:paraId="79BD4212">
      <w:pPr>
        <w:spacing w:line="360" w:lineRule="auto"/>
        <w:ind w:firstLine="480" w:firstLineChars="200"/>
        <w:rPr>
          <w:rFonts w:hint="eastAsia" w:ascii="宋体" w:hAnsi="宋体" w:cs="宋体"/>
          <w:color w:val="000000"/>
          <w:sz w:val="24"/>
          <w:szCs w:val="24"/>
        </w:rPr>
      </w:pPr>
      <w:r>
        <w:rPr>
          <w:rFonts w:hint="eastAsia" w:ascii="宋体" w:hAnsi="宋体" w:cs="宋体"/>
          <w:color w:val="000000"/>
          <w:sz w:val="24"/>
          <w:szCs w:val="24"/>
          <w:lang w:val="zh-CN"/>
        </w:rPr>
        <w:t>评标委员会将按下述标准评定中标人：</w:t>
      </w:r>
      <w:r>
        <w:rPr>
          <w:rFonts w:hint="eastAsia" w:ascii="宋体" w:hAnsi="宋体" w:cs="宋体"/>
          <w:color w:val="000000"/>
          <w:sz w:val="24"/>
          <w:szCs w:val="24"/>
          <w:shd w:val="clear" w:color="auto" w:fill="FFFFFF"/>
        </w:rPr>
        <w:t>评标结果按评审后得分由高到低顺序排列。得分相同的，按投标报价由低到高顺序排列。得分且投标报价相同的并列。投标文件满足招标文件全部实质性要求，且按照评审因素的量化指标评审得分最高的投标人为排名第一的中标候选人。</w:t>
      </w:r>
    </w:p>
    <w:p w14:paraId="6C9C9F54">
      <w:pPr>
        <w:autoSpaceDE w:val="0"/>
        <w:autoSpaceDN w:val="0"/>
        <w:adjustRightInd w:val="0"/>
        <w:spacing w:line="360" w:lineRule="auto"/>
        <w:ind w:firstLine="482"/>
        <w:rPr>
          <w:rFonts w:hint="eastAsia" w:ascii="宋体" w:hAnsi="宋体" w:cs="宋体"/>
          <w:b/>
          <w:color w:val="000000"/>
          <w:sz w:val="24"/>
          <w:szCs w:val="24"/>
          <w:lang w:val="zh-CN"/>
        </w:rPr>
      </w:pPr>
      <w:r>
        <w:rPr>
          <w:rFonts w:hint="eastAsia" w:ascii="宋体" w:hAnsi="宋体" w:cs="宋体"/>
          <w:b/>
          <w:color w:val="000000"/>
          <w:sz w:val="24"/>
          <w:szCs w:val="24"/>
          <w:lang w:val="zh-CN"/>
        </w:rPr>
        <w:t>2</w:t>
      </w:r>
      <w:r>
        <w:rPr>
          <w:rFonts w:hint="eastAsia" w:ascii="宋体" w:hAnsi="宋体" w:cs="宋体"/>
          <w:b/>
          <w:color w:val="000000"/>
          <w:sz w:val="24"/>
          <w:szCs w:val="24"/>
        </w:rPr>
        <w:t>2</w:t>
      </w:r>
      <w:r>
        <w:rPr>
          <w:rFonts w:hint="eastAsia" w:ascii="宋体" w:hAnsi="宋体" w:cs="宋体"/>
          <w:b/>
          <w:color w:val="000000"/>
          <w:sz w:val="24"/>
          <w:szCs w:val="24"/>
          <w:lang w:val="zh-CN"/>
        </w:rPr>
        <w:t>. 签订合同</w:t>
      </w:r>
    </w:p>
    <w:p w14:paraId="4F993DD8">
      <w:pPr>
        <w:autoSpaceDE w:val="0"/>
        <w:autoSpaceDN w:val="0"/>
        <w:adjustRightInd w:val="0"/>
        <w:spacing w:line="360" w:lineRule="auto"/>
        <w:ind w:firstLine="482"/>
        <w:rPr>
          <w:rFonts w:hint="eastAsia" w:ascii="宋体" w:hAnsi="宋体" w:cs="宋体"/>
          <w:color w:val="000000"/>
          <w:sz w:val="24"/>
          <w:szCs w:val="24"/>
          <w:lang w:val="zh-CN"/>
        </w:rPr>
      </w:pPr>
      <w:r>
        <w:rPr>
          <w:rFonts w:hint="eastAsia" w:ascii="宋体" w:hAnsi="宋体" w:cs="宋体"/>
          <w:color w:val="000000"/>
          <w:sz w:val="24"/>
          <w:szCs w:val="24"/>
          <w:lang w:val="zh-CN"/>
        </w:rPr>
        <w:t>2</w:t>
      </w:r>
      <w:r>
        <w:rPr>
          <w:rFonts w:hint="eastAsia" w:ascii="宋体" w:hAnsi="宋体" w:cs="宋体"/>
          <w:color w:val="000000"/>
          <w:sz w:val="24"/>
          <w:szCs w:val="24"/>
        </w:rPr>
        <w:t>2</w:t>
      </w:r>
      <w:r>
        <w:rPr>
          <w:rFonts w:hint="eastAsia" w:ascii="宋体" w:hAnsi="宋体" w:cs="宋体"/>
          <w:color w:val="000000"/>
          <w:sz w:val="24"/>
          <w:szCs w:val="24"/>
          <w:lang w:val="zh-CN"/>
        </w:rPr>
        <w:t>.1采购人将在投标有效期期满之前向中标人发出《中标通知书》。中标通知书是合同的组成部分，对采购人和中标人均具有法律约束力。</w:t>
      </w:r>
    </w:p>
    <w:p w14:paraId="44E669B3">
      <w:pPr>
        <w:autoSpaceDE w:val="0"/>
        <w:autoSpaceDN w:val="0"/>
        <w:adjustRightInd w:val="0"/>
        <w:spacing w:line="360" w:lineRule="auto"/>
        <w:ind w:firstLine="482"/>
        <w:rPr>
          <w:rFonts w:hint="eastAsia" w:ascii="宋体" w:hAnsi="宋体" w:cs="宋体"/>
          <w:color w:val="000000"/>
          <w:sz w:val="24"/>
          <w:szCs w:val="24"/>
          <w:lang w:val="zh-CN"/>
        </w:rPr>
      </w:pPr>
      <w:r>
        <w:rPr>
          <w:rFonts w:hint="eastAsia" w:ascii="宋体" w:hAnsi="宋体" w:cs="宋体"/>
          <w:color w:val="000000"/>
          <w:sz w:val="24"/>
          <w:szCs w:val="24"/>
          <w:lang w:val="zh-CN"/>
        </w:rPr>
        <w:t>2</w:t>
      </w:r>
      <w:r>
        <w:rPr>
          <w:rFonts w:hint="eastAsia" w:ascii="宋体" w:hAnsi="宋体" w:cs="宋体"/>
          <w:color w:val="000000"/>
          <w:sz w:val="24"/>
          <w:szCs w:val="24"/>
        </w:rPr>
        <w:t>2</w:t>
      </w:r>
      <w:r>
        <w:rPr>
          <w:rFonts w:hint="eastAsia" w:ascii="宋体" w:hAnsi="宋体" w:cs="宋体"/>
          <w:color w:val="000000"/>
          <w:sz w:val="24"/>
          <w:szCs w:val="24"/>
          <w:lang w:val="zh-CN"/>
        </w:rPr>
        <w:t>.2中标通知书发出后，采购人改变中标结果的，或者中标人放弃中标项目的，应当依法承担法律责任。</w:t>
      </w:r>
    </w:p>
    <w:p w14:paraId="5671D6E3">
      <w:pPr>
        <w:autoSpaceDE w:val="0"/>
        <w:autoSpaceDN w:val="0"/>
        <w:adjustRightInd w:val="0"/>
        <w:spacing w:line="360" w:lineRule="auto"/>
        <w:ind w:firstLine="482"/>
        <w:rPr>
          <w:rFonts w:hint="eastAsia" w:ascii="宋体" w:hAnsi="宋体" w:cs="宋体"/>
          <w:color w:val="000000"/>
          <w:sz w:val="24"/>
          <w:szCs w:val="24"/>
          <w:lang w:val="zh-CN"/>
        </w:rPr>
      </w:pPr>
      <w:r>
        <w:rPr>
          <w:rFonts w:hint="eastAsia" w:ascii="宋体" w:hAnsi="宋体" w:cs="宋体"/>
          <w:color w:val="000000"/>
          <w:sz w:val="24"/>
          <w:szCs w:val="24"/>
          <w:lang w:val="zh-CN"/>
        </w:rPr>
        <w:t>2</w:t>
      </w:r>
      <w:r>
        <w:rPr>
          <w:rFonts w:hint="eastAsia" w:ascii="宋体" w:hAnsi="宋体" w:cs="宋体"/>
          <w:color w:val="000000"/>
          <w:sz w:val="24"/>
          <w:szCs w:val="24"/>
        </w:rPr>
        <w:t>2</w:t>
      </w:r>
      <w:r>
        <w:rPr>
          <w:rFonts w:hint="eastAsia" w:ascii="宋体" w:hAnsi="宋体" w:cs="宋体"/>
          <w:color w:val="000000"/>
          <w:sz w:val="24"/>
          <w:szCs w:val="24"/>
          <w:lang w:val="zh-CN"/>
        </w:rPr>
        <w:t>.3中标人应按中标通知书规定的时间与采购人签订合同。如果中标人不在规定的时间内签署合同，视为自动放弃中标资格，其提交的投标保证金不予退还，列入不良行为记录名单，在一至三年内禁止参加政府采购活动并予以公告。投标人在被评标委员会评定为预中标人（中标人）之后、中标通知书发出之前放弃中标的，按本条规定处理。</w:t>
      </w:r>
    </w:p>
    <w:p w14:paraId="684D9AA7">
      <w:pPr>
        <w:autoSpaceDE w:val="0"/>
        <w:autoSpaceDN w:val="0"/>
        <w:adjustRightInd w:val="0"/>
        <w:spacing w:line="360" w:lineRule="auto"/>
        <w:ind w:firstLine="480"/>
        <w:rPr>
          <w:rFonts w:hint="eastAsia" w:ascii="宋体" w:hAnsi="宋体" w:cs="宋体"/>
          <w:color w:val="000000"/>
          <w:sz w:val="24"/>
          <w:szCs w:val="24"/>
          <w:lang w:val="zh-CN"/>
        </w:rPr>
      </w:pPr>
      <w:r>
        <w:rPr>
          <w:rFonts w:hint="eastAsia" w:ascii="宋体" w:hAnsi="宋体" w:cs="宋体"/>
          <w:color w:val="000000"/>
          <w:sz w:val="24"/>
          <w:szCs w:val="24"/>
          <w:lang w:val="zh-CN"/>
        </w:rPr>
        <w:t>2</w:t>
      </w:r>
      <w:r>
        <w:rPr>
          <w:rFonts w:hint="eastAsia" w:ascii="宋体" w:hAnsi="宋体" w:cs="宋体"/>
          <w:color w:val="000000"/>
          <w:sz w:val="24"/>
          <w:szCs w:val="24"/>
        </w:rPr>
        <w:t>2</w:t>
      </w:r>
      <w:r>
        <w:rPr>
          <w:rFonts w:hint="eastAsia" w:ascii="宋体" w:hAnsi="宋体" w:cs="宋体"/>
          <w:color w:val="000000"/>
          <w:sz w:val="24"/>
          <w:szCs w:val="24"/>
          <w:lang w:val="zh-CN"/>
        </w:rPr>
        <w:t>.4中标结果将在发布招标公告的媒体上公告，不再以书面方式通知未中标人。</w:t>
      </w:r>
    </w:p>
    <w:p w14:paraId="0432F0DB">
      <w:pPr>
        <w:autoSpaceDE w:val="0"/>
        <w:autoSpaceDN w:val="0"/>
        <w:adjustRightInd w:val="0"/>
        <w:spacing w:line="360" w:lineRule="auto"/>
        <w:ind w:firstLine="480"/>
        <w:rPr>
          <w:rFonts w:hint="eastAsia" w:ascii="宋体" w:hAnsi="宋体" w:cs="宋体"/>
          <w:sz w:val="24"/>
          <w:szCs w:val="24"/>
        </w:rPr>
      </w:pPr>
      <w:r>
        <w:rPr>
          <w:rFonts w:hint="eastAsia" w:ascii="宋体" w:hAnsi="宋体" w:cs="宋体"/>
          <w:color w:val="000000"/>
          <w:sz w:val="24"/>
          <w:szCs w:val="24"/>
          <w:lang w:val="zh-CN"/>
        </w:rPr>
        <w:t>2</w:t>
      </w:r>
      <w:r>
        <w:rPr>
          <w:rFonts w:hint="eastAsia" w:ascii="宋体" w:hAnsi="宋体" w:cs="宋体"/>
          <w:color w:val="000000"/>
          <w:sz w:val="24"/>
          <w:szCs w:val="24"/>
        </w:rPr>
        <w:t>2</w:t>
      </w:r>
      <w:r>
        <w:rPr>
          <w:rFonts w:hint="eastAsia" w:ascii="宋体" w:hAnsi="宋体" w:cs="宋体"/>
          <w:color w:val="000000"/>
          <w:sz w:val="24"/>
          <w:szCs w:val="24"/>
          <w:lang w:val="zh-CN"/>
        </w:rPr>
        <w:t>.</w:t>
      </w:r>
      <w:r>
        <w:rPr>
          <w:rFonts w:hint="eastAsia" w:ascii="宋体" w:hAnsi="宋体" w:cs="宋体"/>
          <w:color w:val="000000"/>
          <w:sz w:val="24"/>
          <w:szCs w:val="24"/>
        </w:rPr>
        <w:t>5</w:t>
      </w:r>
      <w:r>
        <w:rPr>
          <w:rFonts w:hint="eastAsia" w:ascii="宋体" w:hAnsi="宋体" w:cs="宋体"/>
          <w:sz w:val="24"/>
          <w:szCs w:val="24"/>
        </w:rPr>
        <w:t>采购人应当自政府采购合同签订之日起 2 个工作日内，对合同进行公示，但政府采购合同中涉及国家秘密、商业秘密的内容除外。</w:t>
      </w:r>
    </w:p>
    <w:p w14:paraId="314EC286">
      <w:pPr>
        <w:autoSpaceDE w:val="0"/>
        <w:autoSpaceDN w:val="0"/>
        <w:adjustRightInd w:val="0"/>
        <w:spacing w:line="360" w:lineRule="auto"/>
        <w:ind w:firstLine="482" w:firstLineChars="200"/>
        <w:rPr>
          <w:rFonts w:hint="eastAsia" w:ascii="宋体" w:hAnsi="宋体" w:cs="宋体"/>
          <w:bCs/>
          <w:sz w:val="24"/>
          <w:szCs w:val="24"/>
          <w:lang w:val="zh-CN"/>
        </w:rPr>
      </w:pPr>
      <w:r>
        <w:rPr>
          <w:rFonts w:hint="eastAsia" w:ascii="宋体" w:hAnsi="宋体" w:cs="宋体"/>
          <w:b/>
          <w:color w:val="000000"/>
          <w:sz w:val="24"/>
          <w:szCs w:val="24"/>
        </w:rPr>
        <w:t>23.</w:t>
      </w:r>
      <w:r>
        <w:rPr>
          <w:rFonts w:hint="eastAsia" w:ascii="宋体" w:hAnsi="宋体" w:cs="宋体"/>
          <w:b/>
          <w:color w:val="000000"/>
          <w:sz w:val="24"/>
          <w:szCs w:val="24"/>
          <w:lang w:val="zh-CN"/>
        </w:rPr>
        <w:t>履约保证金</w:t>
      </w:r>
    </w:p>
    <w:p w14:paraId="358954AA">
      <w:pPr>
        <w:autoSpaceDE w:val="0"/>
        <w:autoSpaceDN w:val="0"/>
        <w:adjustRightInd w:val="0"/>
        <w:spacing w:line="360" w:lineRule="auto"/>
        <w:ind w:firstLine="480" w:firstLineChars="200"/>
        <w:rPr>
          <w:rFonts w:hint="eastAsia" w:ascii="宋体" w:hAnsi="宋体" w:cs="宋体"/>
          <w:sz w:val="24"/>
          <w:szCs w:val="24"/>
          <w:shd w:val="clear" w:color="auto" w:fill="FFFFFF"/>
        </w:rPr>
      </w:pPr>
      <w:r>
        <w:rPr>
          <w:rFonts w:hint="eastAsia" w:ascii="宋体" w:hAnsi="宋体" w:cs="宋体"/>
          <w:bCs/>
          <w:sz w:val="24"/>
          <w:szCs w:val="24"/>
          <w:lang w:val="zh-CN"/>
        </w:rPr>
        <w:t>履约保证金：中标人与采购人签订采购合同时需向采购人交付合同总价款5%的履约保证金，采购人根据采购合同约定，待中标人履行完合同约定权利义务事项后退还。</w:t>
      </w:r>
    </w:p>
    <w:p w14:paraId="7081CA42">
      <w:pPr>
        <w:autoSpaceDE w:val="0"/>
        <w:autoSpaceDN w:val="0"/>
        <w:adjustRightInd w:val="0"/>
        <w:spacing w:line="360" w:lineRule="auto"/>
        <w:ind w:firstLine="482" w:firstLineChars="200"/>
        <w:rPr>
          <w:rFonts w:hint="eastAsia" w:ascii="宋体" w:hAnsi="宋体" w:cs="宋体"/>
          <w:b/>
          <w:color w:val="000000"/>
          <w:kern w:val="0"/>
          <w:sz w:val="24"/>
          <w:szCs w:val="24"/>
          <w:lang w:val="zh-CN"/>
        </w:rPr>
      </w:pPr>
      <w:r>
        <w:rPr>
          <w:rFonts w:hint="eastAsia" w:ascii="宋体" w:hAnsi="宋体" w:cs="宋体"/>
          <w:b/>
          <w:color w:val="000000"/>
          <w:kern w:val="0"/>
          <w:sz w:val="24"/>
          <w:szCs w:val="24"/>
        </w:rPr>
        <w:t>24.</w:t>
      </w:r>
      <w:r>
        <w:rPr>
          <w:rFonts w:hint="eastAsia" w:ascii="宋体" w:hAnsi="宋体" w:cs="宋体"/>
          <w:b/>
          <w:color w:val="000000"/>
          <w:kern w:val="0"/>
          <w:sz w:val="24"/>
          <w:szCs w:val="24"/>
          <w:lang w:val="zh-CN"/>
        </w:rPr>
        <w:t>保密和披露</w:t>
      </w:r>
    </w:p>
    <w:p w14:paraId="3E393146">
      <w:pPr>
        <w:tabs>
          <w:tab w:val="left" w:pos="709"/>
        </w:tabs>
        <w:autoSpaceDE w:val="0"/>
        <w:autoSpaceDN w:val="0"/>
        <w:adjustRightInd w:val="0"/>
        <w:spacing w:line="360" w:lineRule="auto"/>
        <w:ind w:firstLine="482"/>
        <w:rPr>
          <w:rFonts w:hint="eastAsia" w:ascii="宋体" w:hAnsi="宋体" w:cs="宋体"/>
          <w:color w:val="000000"/>
          <w:kern w:val="0"/>
          <w:sz w:val="24"/>
          <w:szCs w:val="24"/>
          <w:lang w:val="zh-CN"/>
        </w:rPr>
      </w:pPr>
      <w:r>
        <w:rPr>
          <w:rFonts w:hint="eastAsia" w:ascii="宋体" w:hAnsi="宋体" w:cs="宋体"/>
          <w:color w:val="000000"/>
          <w:kern w:val="0"/>
          <w:sz w:val="24"/>
          <w:szCs w:val="24"/>
          <w:lang w:val="zh-CN"/>
        </w:rPr>
        <w:t>2</w:t>
      </w:r>
      <w:r>
        <w:rPr>
          <w:rFonts w:hint="eastAsia" w:ascii="宋体" w:hAnsi="宋体" w:cs="宋体"/>
          <w:color w:val="000000"/>
          <w:kern w:val="0"/>
          <w:sz w:val="24"/>
          <w:szCs w:val="24"/>
        </w:rPr>
        <w:t>4</w:t>
      </w:r>
      <w:r>
        <w:rPr>
          <w:rFonts w:hint="eastAsia" w:ascii="宋体" w:hAnsi="宋体" w:cs="宋体"/>
          <w:color w:val="000000"/>
          <w:kern w:val="0"/>
          <w:sz w:val="24"/>
          <w:szCs w:val="24"/>
          <w:lang w:val="zh-CN"/>
        </w:rPr>
        <w:t>.1</w:t>
      </w:r>
      <w:r>
        <w:rPr>
          <w:rFonts w:hint="eastAsia" w:ascii="宋体" w:hAnsi="宋体" w:cs="宋体"/>
          <w:color w:val="000000"/>
          <w:sz w:val="24"/>
          <w:szCs w:val="24"/>
          <w:lang w:val="zh-CN"/>
        </w:rPr>
        <w:t>采购人有权将投标人提供的所有资料向其他政府部门或有关的非政府机构负责评审标书的人员或与评标有关的人员披露。</w:t>
      </w:r>
    </w:p>
    <w:p w14:paraId="33242877">
      <w:pPr>
        <w:autoSpaceDE w:val="0"/>
        <w:autoSpaceDN w:val="0"/>
        <w:adjustRightInd w:val="0"/>
        <w:spacing w:line="360" w:lineRule="auto"/>
        <w:ind w:firstLine="476"/>
        <w:rPr>
          <w:rFonts w:hint="eastAsia" w:ascii="宋体" w:hAnsi="宋体" w:cs="宋体"/>
          <w:color w:val="000000"/>
          <w:sz w:val="24"/>
          <w:szCs w:val="24"/>
          <w:lang w:val="zh-CN"/>
        </w:rPr>
      </w:pPr>
      <w:r>
        <w:rPr>
          <w:rFonts w:hint="eastAsia" w:ascii="宋体" w:hAnsi="宋体" w:cs="宋体"/>
          <w:color w:val="000000"/>
          <w:sz w:val="24"/>
          <w:szCs w:val="24"/>
          <w:lang w:val="zh-CN"/>
        </w:rPr>
        <w:t>2</w:t>
      </w:r>
      <w:r>
        <w:rPr>
          <w:rFonts w:hint="eastAsia" w:ascii="宋体" w:hAnsi="宋体" w:cs="宋体"/>
          <w:color w:val="000000"/>
          <w:sz w:val="24"/>
          <w:szCs w:val="24"/>
        </w:rPr>
        <w:t>4</w:t>
      </w:r>
      <w:r>
        <w:rPr>
          <w:rFonts w:hint="eastAsia" w:ascii="宋体" w:hAnsi="宋体" w:cs="宋体"/>
          <w:color w:val="000000"/>
          <w:sz w:val="24"/>
          <w:szCs w:val="24"/>
          <w:lang w:val="zh-CN"/>
        </w:rPr>
        <w:t>.2在下列情形下：当发布中标公告和其它公告时，当国家机关调查、审查、审计时，以及在其他符合法律规定的情形下，采购人无须事先征求投标人/中标人同意而可以披露关于采购过程、投标文件、合同文本、合同签署情况的资料、投标人/中标人的名称及地址、采购内容的有关信息以及补充条款等，并且对任何已经公布过的内容或与之内容相同的资料无须再承担保密责任。</w:t>
      </w:r>
    </w:p>
    <w:p w14:paraId="0D313580">
      <w:pPr>
        <w:pStyle w:val="7"/>
        <w:spacing w:line="360" w:lineRule="auto"/>
        <w:rPr>
          <w:rFonts w:hint="eastAsia" w:ascii="宋体" w:hAnsi="宋体" w:cs="宋体"/>
          <w:color w:val="000000"/>
          <w:sz w:val="24"/>
          <w:szCs w:val="24"/>
        </w:rPr>
      </w:pPr>
      <w:r>
        <w:rPr>
          <w:rFonts w:hint="eastAsia" w:ascii="宋体" w:hAnsi="宋体" w:cs="宋体"/>
          <w:color w:val="000000"/>
          <w:sz w:val="24"/>
          <w:szCs w:val="24"/>
        </w:rPr>
        <w:t xml:space="preserve">     24.3投标人自下载招标文件之日起，须承诺承担本招标项目下的保密义务，不得将因本次招标获得的信息向第三人外传。</w:t>
      </w:r>
    </w:p>
    <w:p w14:paraId="33DE21EE">
      <w:pPr>
        <w:autoSpaceDE w:val="0"/>
        <w:autoSpaceDN w:val="0"/>
        <w:adjustRightInd w:val="0"/>
        <w:spacing w:line="360" w:lineRule="auto"/>
        <w:ind w:firstLine="482" w:firstLineChars="200"/>
        <w:rPr>
          <w:rFonts w:hint="eastAsia" w:ascii="宋体" w:hAnsi="宋体" w:cs="宋体"/>
          <w:b/>
          <w:color w:val="000000"/>
          <w:kern w:val="0"/>
          <w:sz w:val="24"/>
          <w:szCs w:val="24"/>
        </w:rPr>
      </w:pPr>
      <w:r>
        <w:rPr>
          <w:rFonts w:hint="eastAsia" w:ascii="宋体" w:hAnsi="宋体" w:cs="宋体"/>
          <w:b/>
          <w:color w:val="000000"/>
          <w:kern w:val="0"/>
          <w:sz w:val="24"/>
          <w:szCs w:val="24"/>
        </w:rPr>
        <w:t xml:space="preserve">25.询问与质疑 </w:t>
      </w:r>
    </w:p>
    <w:p w14:paraId="6BC8644D">
      <w:pPr>
        <w:pStyle w:val="7"/>
        <w:spacing w:line="360" w:lineRule="auto"/>
        <w:ind w:firstLine="480" w:firstLineChars="200"/>
        <w:rPr>
          <w:rFonts w:hint="eastAsia" w:ascii="宋体" w:hAnsi="宋体" w:cs="宋体"/>
          <w:color w:val="000000"/>
          <w:sz w:val="24"/>
          <w:szCs w:val="24"/>
        </w:rPr>
      </w:pPr>
      <w:bookmarkStart w:id="14" w:name="_Toc13413"/>
      <w:r>
        <w:rPr>
          <w:rFonts w:hint="eastAsia" w:ascii="宋体" w:hAnsi="宋体" w:cs="宋体"/>
          <w:color w:val="000000"/>
          <w:sz w:val="24"/>
          <w:szCs w:val="24"/>
        </w:rPr>
        <w:t xml:space="preserve">25.1 询问 </w:t>
      </w:r>
    </w:p>
    <w:p w14:paraId="01BCCAB3">
      <w:pPr>
        <w:pStyle w:val="7"/>
        <w:spacing w:line="360" w:lineRule="auto"/>
        <w:ind w:firstLine="480" w:firstLineChars="200"/>
        <w:rPr>
          <w:rFonts w:hint="eastAsia" w:ascii="宋体" w:hAnsi="宋体" w:cs="宋体"/>
          <w:color w:val="000000"/>
          <w:sz w:val="24"/>
          <w:szCs w:val="24"/>
        </w:rPr>
      </w:pPr>
      <w:r>
        <w:rPr>
          <w:rFonts w:hint="eastAsia" w:ascii="宋体" w:hAnsi="宋体" w:cs="宋体"/>
          <w:color w:val="000000"/>
          <w:sz w:val="24"/>
          <w:szCs w:val="24"/>
        </w:rPr>
        <w:t xml:space="preserve">25.1.1 投标人对政府采购活动事项有疑问的，可依法提出询问，并按《投标人须知资料表》载明的形式送达采购人或采购代理机构。 </w:t>
      </w:r>
    </w:p>
    <w:p w14:paraId="42B8D7B8">
      <w:pPr>
        <w:pStyle w:val="7"/>
        <w:spacing w:line="360" w:lineRule="auto"/>
        <w:ind w:firstLine="480" w:firstLineChars="200"/>
        <w:rPr>
          <w:rFonts w:hint="eastAsia" w:ascii="宋体" w:hAnsi="宋体" w:cs="宋体"/>
          <w:color w:val="000000"/>
          <w:sz w:val="24"/>
          <w:szCs w:val="24"/>
        </w:rPr>
      </w:pPr>
      <w:r>
        <w:rPr>
          <w:rFonts w:hint="eastAsia" w:ascii="宋体" w:hAnsi="宋体" w:cs="宋体"/>
          <w:color w:val="000000"/>
          <w:sz w:val="24"/>
          <w:szCs w:val="24"/>
        </w:rPr>
        <w:t xml:space="preserve">25.1.2 采购人或采购代理机构对供应商依法提出的询问，在 3 个工作日内作出答复，但答复的内容不得涉及商业秘密。 </w:t>
      </w:r>
    </w:p>
    <w:p w14:paraId="48388B82">
      <w:pPr>
        <w:pStyle w:val="7"/>
        <w:spacing w:line="360" w:lineRule="auto"/>
        <w:ind w:firstLine="480" w:firstLineChars="200"/>
        <w:rPr>
          <w:rFonts w:hint="eastAsia" w:ascii="宋体" w:hAnsi="宋体" w:cs="宋体"/>
          <w:color w:val="000000"/>
          <w:sz w:val="24"/>
          <w:szCs w:val="24"/>
        </w:rPr>
      </w:pPr>
      <w:r>
        <w:rPr>
          <w:rFonts w:hint="eastAsia" w:ascii="宋体" w:hAnsi="宋体" w:cs="宋体"/>
          <w:color w:val="000000"/>
          <w:sz w:val="24"/>
          <w:szCs w:val="24"/>
        </w:rPr>
        <w:t xml:space="preserve">25.2 质疑 </w:t>
      </w:r>
    </w:p>
    <w:p w14:paraId="3C4CC6A7">
      <w:pPr>
        <w:pStyle w:val="7"/>
        <w:spacing w:line="360" w:lineRule="auto"/>
        <w:ind w:firstLine="480" w:firstLineChars="200"/>
        <w:rPr>
          <w:rFonts w:hint="eastAsia" w:ascii="宋体" w:hAnsi="宋体" w:cs="宋体"/>
          <w:color w:val="000000"/>
          <w:sz w:val="24"/>
          <w:szCs w:val="24"/>
        </w:rPr>
      </w:pPr>
      <w:r>
        <w:rPr>
          <w:rFonts w:hint="eastAsia" w:ascii="宋体" w:hAnsi="宋体" w:cs="宋体"/>
          <w:color w:val="000000"/>
          <w:sz w:val="24"/>
          <w:szCs w:val="24"/>
        </w:rPr>
        <w:t xml:space="preserve">25.2.1 投标人认为采购文件、采购过程、中标结果使自己的权益受到损害的，可以在知道或者应知其权益受到损害之日起 7 个工作日内，以书面形式向采购人、采购代理机构提出质疑。采购人、采购代理机构在收到质疑函后 7 个工作日内作出答复。 </w:t>
      </w:r>
    </w:p>
    <w:p w14:paraId="686DD8FF">
      <w:pPr>
        <w:pStyle w:val="7"/>
        <w:spacing w:line="360" w:lineRule="auto"/>
        <w:ind w:firstLine="480" w:firstLineChars="200"/>
        <w:rPr>
          <w:rFonts w:hint="eastAsia" w:ascii="宋体" w:hAnsi="宋体" w:cs="宋体"/>
          <w:color w:val="000000"/>
          <w:sz w:val="24"/>
          <w:szCs w:val="24"/>
        </w:rPr>
      </w:pPr>
      <w:r>
        <w:rPr>
          <w:rFonts w:hint="eastAsia" w:ascii="宋体" w:hAnsi="宋体" w:cs="宋体"/>
          <w:color w:val="000000"/>
          <w:sz w:val="24"/>
          <w:szCs w:val="24"/>
        </w:rPr>
        <w:t xml:space="preserve">25.2.2 质疑函须使用财政部制定的范本文件。投标人为自然人的，质疑函应当由本人签字；投标人为法人或者其他组织的，质疑函应当由法定代表人、主要负责人，或者其授权代表签字或者盖章，并加盖公章。 </w:t>
      </w:r>
    </w:p>
    <w:p w14:paraId="592A90CB">
      <w:pPr>
        <w:pStyle w:val="7"/>
        <w:spacing w:line="360" w:lineRule="auto"/>
        <w:ind w:firstLine="480" w:firstLineChars="200"/>
        <w:rPr>
          <w:rFonts w:hint="eastAsia" w:ascii="宋体" w:hAnsi="宋体" w:cs="宋体"/>
          <w:color w:val="000000"/>
          <w:sz w:val="24"/>
          <w:szCs w:val="24"/>
        </w:rPr>
      </w:pPr>
      <w:r>
        <w:rPr>
          <w:rFonts w:hint="eastAsia" w:ascii="宋体" w:hAnsi="宋体" w:cs="宋体"/>
          <w:color w:val="000000"/>
          <w:sz w:val="24"/>
          <w:szCs w:val="24"/>
        </w:rPr>
        <w:t xml:space="preserve">25.2.3 投标人委托代理人进行质疑的，应当随质疑函同时提交投标人签署的授权委托书。授权委托书应当载明代理人的姓名或者名称、代理事项、具体权限、期限和相关事项。投标人为自然人的，应当由本人签字；投标人为法人或者其他组织的，应当由法定代表人、主要负责人签字或者盖章，并加盖公章。 </w:t>
      </w:r>
    </w:p>
    <w:p w14:paraId="510193A3">
      <w:pPr>
        <w:pStyle w:val="7"/>
        <w:spacing w:line="360" w:lineRule="auto"/>
        <w:ind w:firstLine="480" w:firstLineChars="200"/>
        <w:rPr>
          <w:rFonts w:hint="eastAsia" w:ascii="宋体" w:hAnsi="宋体" w:cs="宋体"/>
          <w:color w:val="000000"/>
          <w:sz w:val="24"/>
          <w:szCs w:val="24"/>
        </w:rPr>
      </w:pPr>
      <w:r>
        <w:rPr>
          <w:rFonts w:hint="eastAsia" w:ascii="宋体" w:hAnsi="宋体" w:cs="宋体"/>
          <w:color w:val="000000"/>
          <w:sz w:val="24"/>
          <w:szCs w:val="24"/>
        </w:rPr>
        <w:t xml:space="preserve">25.2.4 投标人应在法定质疑期内一次性提出针对同一采购程序环节的质疑， 法定质疑期内针对同一采购程序环节再次提出的质疑，采购人、采购代理机构有权不予答复。 </w:t>
      </w:r>
    </w:p>
    <w:p w14:paraId="4489B087">
      <w:pPr>
        <w:pStyle w:val="7"/>
        <w:spacing w:line="360" w:lineRule="auto"/>
        <w:ind w:firstLine="480" w:firstLineChars="200"/>
        <w:rPr>
          <w:rFonts w:hint="eastAsia" w:ascii="宋体" w:hAnsi="宋体" w:cs="宋体"/>
          <w:sz w:val="24"/>
          <w:szCs w:val="24"/>
        </w:rPr>
      </w:pPr>
      <w:r>
        <w:rPr>
          <w:rFonts w:hint="eastAsia" w:ascii="宋体" w:hAnsi="宋体" w:cs="宋体"/>
          <w:color w:val="000000"/>
          <w:sz w:val="24"/>
          <w:szCs w:val="24"/>
        </w:rPr>
        <w:t>25.3 接收询问和质疑的联系部门、联系电话和通讯地址见《投标人须知资料表》。</w:t>
      </w:r>
    </w:p>
    <w:p w14:paraId="7145FC7D">
      <w:pPr>
        <w:pStyle w:val="7"/>
        <w:rPr>
          <w:rFonts w:hint="eastAsia" w:ascii="宋体" w:hAnsi="宋体" w:cs="宋体"/>
          <w:sz w:val="24"/>
          <w:szCs w:val="24"/>
        </w:rPr>
      </w:pPr>
    </w:p>
    <w:p w14:paraId="24F43243">
      <w:pPr>
        <w:pStyle w:val="16"/>
        <w:rPr>
          <w:rFonts w:hint="eastAsia" w:ascii="宋体" w:hAnsi="宋体" w:cs="宋体"/>
          <w:sz w:val="24"/>
          <w:lang w:eastAsia="zh-CN"/>
        </w:rPr>
      </w:pPr>
    </w:p>
    <w:p w14:paraId="4738E8B7">
      <w:pPr>
        <w:pStyle w:val="16"/>
        <w:rPr>
          <w:rFonts w:hint="eastAsia" w:ascii="宋体" w:hAnsi="宋体" w:cs="宋体"/>
          <w:sz w:val="24"/>
          <w:lang w:eastAsia="zh-CN"/>
        </w:rPr>
      </w:pPr>
    </w:p>
    <w:p w14:paraId="6D448D0B">
      <w:pPr>
        <w:pStyle w:val="16"/>
        <w:rPr>
          <w:rFonts w:hint="eastAsia" w:ascii="宋体" w:hAnsi="宋体" w:cs="宋体"/>
          <w:sz w:val="24"/>
          <w:lang w:eastAsia="zh-CN"/>
        </w:rPr>
      </w:pPr>
    </w:p>
    <w:p w14:paraId="79E3D3A8">
      <w:pPr>
        <w:pStyle w:val="16"/>
        <w:rPr>
          <w:rFonts w:hint="eastAsia" w:ascii="宋体" w:hAnsi="宋体" w:cs="宋体"/>
          <w:sz w:val="24"/>
          <w:lang w:eastAsia="zh-CN"/>
        </w:rPr>
      </w:pPr>
    </w:p>
    <w:p w14:paraId="343BCD31">
      <w:pPr>
        <w:pStyle w:val="16"/>
        <w:rPr>
          <w:rFonts w:hint="eastAsia" w:ascii="宋体" w:hAnsi="宋体" w:cs="宋体"/>
          <w:sz w:val="24"/>
          <w:lang w:eastAsia="zh-CN"/>
        </w:rPr>
      </w:pPr>
    </w:p>
    <w:p w14:paraId="753B9FB3">
      <w:pPr>
        <w:pStyle w:val="16"/>
        <w:rPr>
          <w:rFonts w:hint="eastAsia" w:ascii="宋体" w:hAnsi="宋体" w:cs="宋体"/>
          <w:sz w:val="24"/>
          <w:lang w:eastAsia="zh-CN"/>
        </w:rPr>
      </w:pPr>
    </w:p>
    <w:p w14:paraId="0B6A7A23">
      <w:pPr>
        <w:pStyle w:val="16"/>
        <w:rPr>
          <w:rFonts w:hint="eastAsia" w:ascii="宋体" w:hAnsi="宋体" w:cs="宋体"/>
          <w:sz w:val="24"/>
          <w:lang w:eastAsia="zh-CN"/>
        </w:rPr>
      </w:pPr>
    </w:p>
    <w:p w14:paraId="0EDC379B">
      <w:pPr>
        <w:pStyle w:val="16"/>
        <w:rPr>
          <w:rFonts w:hint="eastAsia" w:ascii="宋体" w:hAnsi="宋体" w:cs="宋体"/>
          <w:sz w:val="24"/>
          <w:lang w:eastAsia="zh-CN"/>
        </w:rPr>
      </w:pPr>
    </w:p>
    <w:p w14:paraId="314DF333">
      <w:pPr>
        <w:pStyle w:val="16"/>
        <w:rPr>
          <w:rFonts w:hint="eastAsia" w:ascii="宋体" w:hAnsi="宋体" w:cs="宋体"/>
          <w:sz w:val="24"/>
          <w:lang w:eastAsia="zh-CN"/>
        </w:rPr>
      </w:pPr>
    </w:p>
    <w:p w14:paraId="1677C6B8">
      <w:pPr>
        <w:pStyle w:val="16"/>
        <w:rPr>
          <w:rFonts w:hint="eastAsia" w:ascii="宋体" w:hAnsi="宋体" w:cs="宋体"/>
          <w:sz w:val="24"/>
          <w:lang w:eastAsia="zh-CN"/>
        </w:rPr>
      </w:pPr>
    </w:p>
    <w:p w14:paraId="0C0F367F">
      <w:pPr>
        <w:pStyle w:val="16"/>
        <w:rPr>
          <w:rFonts w:hint="eastAsia" w:ascii="宋体" w:hAnsi="宋体" w:cs="宋体"/>
          <w:sz w:val="24"/>
          <w:lang w:eastAsia="zh-CN"/>
        </w:rPr>
      </w:pPr>
    </w:p>
    <w:p w14:paraId="3EAA5BB6">
      <w:pPr>
        <w:pStyle w:val="16"/>
        <w:rPr>
          <w:rFonts w:hint="eastAsia" w:ascii="宋体" w:hAnsi="宋体" w:cs="宋体"/>
          <w:sz w:val="24"/>
          <w:lang w:eastAsia="zh-CN"/>
        </w:rPr>
      </w:pPr>
    </w:p>
    <w:p w14:paraId="288D2A16">
      <w:pPr>
        <w:pStyle w:val="16"/>
        <w:rPr>
          <w:rFonts w:hint="eastAsia" w:ascii="宋体" w:hAnsi="宋体" w:cs="宋体"/>
          <w:sz w:val="24"/>
          <w:lang w:eastAsia="zh-CN"/>
        </w:rPr>
      </w:pPr>
    </w:p>
    <w:p w14:paraId="4A946715">
      <w:pPr>
        <w:pStyle w:val="2"/>
        <w:rPr>
          <w:sz w:val="32"/>
          <w:szCs w:val="32"/>
        </w:rPr>
      </w:pPr>
      <w:bookmarkStart w:id="15" w:name="_Toc22101"/>
      <w:r>
        <w:rPr>
          <w:rFonts w:hint="eastAsia"/>
          <w:sz w:val="32"/>
          <w:szCs w:val="32"/>
        </w:rPr>
        <w:t>第三章  评标标准和方法</w:t>
      </w:r>
      <w:bookmarkEnd w:id="14"/>
      <w:bookmarkEnd w:id="15"/>
    </w:p>
    <w:p w14:paraId="3A436958">
      <w:pPr>
        <w:ind w:firstLine="480" w:firstLineChars="200"/>
        <w:rPr>
          <w:rFonts w:hint="eastAsia" w:ascii="宋体" w:hAnsi="宋体" w:cs="宋体"/>
          <w:color w:val="000000"/>
          <w:sz w:val="24"/>
          <w:szCs w:val="24"/>
          <w:lang w:val="zh-CN"/>
        </w:rPr>
      </w:pPr>
    </w:p>
    <w:p w14:paraId="472D3135">
      <w:pPr>
        <w:spacing w:line="360" w:lineRule="auto"/>
        <w:ind w:firstLine="480" w:firstLineChars="200"/>
        <w:rPr>
          <w:rFonts w:hint="eastAsia" w:ascii="宋体" w:hAnsi="宋体" w:cs="宋体"/>
          <w:color w:val="000000"/>
          <w:sz w:val="24"/>
          <w:szCs w:val="24"/>
          <w:lang w:val="zh-CN"/>
        </w:rPr>
      </w:pPr>
      <w:r>
        <w:rPr>
          <w:rFonts w:hint="eastAsia" w:ascii="宋体" w:hAnsi="宋体" w:cs="宋体"/>
          <w:color w:val="000000"/>
          <w:sz w:val="24"/>
          <w:szCs w:val="24"/>
          <w:lang w:val="zh-CN"/>
        </w:rPr>
        <w:t>根据《中华人民共和国政府采购法》、《政府采购货物和服务招标投标管理办法》及政府采购其它相关法规，结合采购项目特点，制定本评标办法。</w:t>
      </w:r>
    </w:p>
    <w:p w14:paraId="2BC588BC">
      <w:pPr>
        <w:spacing w:line="360" w:lineRule="auto"/>
        <w:rPr>
          <w:rFonts w:hint="eastAsia" w:ascii="宋体" w:hAnsi="宋体" w:cs="宋体"/>
          <w:color w:val="000000"/>
          <w:sz w:val="24"/>
          <w:szCs w:val="24"/>
          <w:lang w:val="zh-CN"/>
        </w:rPr>
      </w:pPr>
      <w:r>
        <w:rPr>
          <w:rFonts w:hint="eastAsia" w:ascii="宋体" w:hAnsi="宋体" w:cs="宋体"/>
          <w:color w:val="000000"/>
          <w:sz w:val="24"/>
          <w:szCs w:val="24"/>
          <w:lang w:val="zh-CN"/>
        </w:rPr>
        <w:t>一、评标方法</w:t>
      </w:r>
    </w:p>
    <w:p w14:paraId="541B5CE7">
      <w:pPr>
        <w:spacing w:line="360" w:lineRule="auto"/>
        <w:ind w:firstLine="480" w:firstLineChars="200"/>
        <w:rPr>
          <w:rFonts w:hint="eastAsia" w:ascii="宋体" w:hAnsi="宋体" w:cs="宋体"/>
          <w:color w:val="000000"/>
          <w:sz w:val="24"/>
          <w:szCs w:val="24"/>
          <w:lang w:val="zh-CN"/>
        </w:rPr>
      </w:pPr>
      <w:r>
        <w:rPr>
          <w:rFonts w:hint="eastAsia" w:ascii="宋体" w:hAnsi="宋体" w:cs="宋体"/>
          <w:color w:val="000000"/>
          <w:sz w:val="24"/>
          <w:szCs w:val="24"/>
          <w:lang w:val="zh-CN"/>
        </w:rPr>
        <w:t>本次评标采用综合评</w:t>
      </w:r>
      <w:r>
        <w:rPr>
          <w:rFonts w:hint="eastAsia" w:ascii="宋体" w:hAnsi="宋体" w:cs="宋体"/>
          <w:color w:val="000000"/>
          <w:sz w:val="24"/>
          <w:szCs w:val="24"/>
        </w:rPr>
        <w:t>分</w:t>
      </w:r>
      <w:r>
        <w:rPr>
          <w:rFonts w:hint="eastAsia" w:ascii="宋体" w:hAnsi="宋体" w:cs="宋体"/>
          <w:color w:val="000000"/>
          <w:sz w:val="24"/>
          <w:szCs w:val="24"/>
          <w:lang w:val="zh-CN"/>
        </w:rPr>
        <w:t>法，即在最大限度地满足招标文件实质性要求前提下，按照招标文件中规定的各项因素和相应的权重分值进行综合评审后，以总得分最高的投标人作为中标候选人并依次排序 (最低投标报价不是中标的唯一标准)。</w:t>
      </w:r>
    </w:p>
    <w:p w14:paraId="38C7E422">
      <w:pPr>
        <w:spacing w:line="360" w:lineRule="auto"/>
        <w:rPr>
          <w:rFonts w:hint="eastAsia" w:ascii="宋体" w:hAnsi="宋体" w:cs="宋体"/>
          <w:color w:val="000000"/>
          <w:sz w:val="24"/>
          <w:szCs w:val="24"/>
          <w:lang w:val="zh-CN"/>
        </w:rPr>
      </w:pPr>
      <w:r>
        <w:rPr>
          <w:rFonts w:hint="eastAsia" w:ascii="宋体" w:hAnsi="宋体" w:cs="宋体"/>
          <w:color w:val="000000"/>
          <w:sz w:val="24"/>
          <w:szCs w:val="24"/>
          <w:lang w:val="zh-CN"/>
        </w:rPr>
        <w:t>二、评标程序</w:t>
      </w:r>
    </w:p>
    <w:p w14:paraId="6787BA80">
      <w:pPr>
        <w:spacing w:line="360" w:lineRule="auto"/>
        <w:ind w:firstLine="482" w:firstLineChars="200"/>
        <w:rPr>
          <w:rFonts w:hint="eastAsia" w:ascii="宋体" w:hAnsi="宋体" w:cs="宋体"/>
          <w:b/>
          <w:bCs/>
          <w:color w:val="000000"/>
          <w:sz w:val="24"/>
          <w:szCs w:val="24"/>
          <w:lang w:val="zh-CN"/>
        </w:rPr>
      </w:pPr>
      <w:r>
        <w:rPr>
          <w:rFonts w:hint="eastAsia" w:ascii="宋体" w:hAnsi="宋体" w:cs="宋体"/>
          <w:b/>
          <w:bCs/>
          <w:color w:val="000000"/>
          <w:sz w:val="24"/>
          <w:szCs w:val="24"/>
          <w:lang w:val="zh-CN"/>
        </w:rPr>
        <w:t>1、资格性审查表</w:t>
      </w:r>
    </w:p>
    <w:p w14:paraId="5D0AABA5">
      <w:pPr>
        <w:spacing w:line="360" w:lineRule="auto"/>
        <w:ind w:firstLine="480" w:firstLineChars="200"/>
        <w:rPr>
          <w:rFonts w:hint="eastAsia" w:ascii="宋体" w:hAnsi="宋体" w:cs="宋体"/>
          <w:color w:val="000000"/>
          <w:sz w:val="24"/>
          <w:szCs w:val="24"/>
          <w:lang w:val="zh-CN"/>
        </w:rPr>
      </w:pPr>
      <w:r>
        <w:rPr>
          <w:rFonts w:hint="eastAsia" w:ascii="宋体" w:hAnsi="宋体" w:cs="宋体"/>
          <w:color w:val="000000"/>
          <w:sz w:val="24"/>
          <w:szCs w:val="24"/>
          <w:lang w:val="zh-CN"/>
        </w:rPr>
        <w:t>由</w:t>
      </w:r>
      <w:r>
        <w:rPr>
          <w:rFonts w:hint="eastAsia" w:ascii="宋体" w:hAnsi="宋体" w:cs="宋体"/>
          <w:bCs/>
          <w:color w:val="000000"/>
          <w:sz w:val="24"/>
          <w:szCs w:val="24"/>
          <w:lang w:val="zh-CN"/>
        </w:rPr>
        <w:t>采购人或者采购代理机构</w:t>
      </w:r>
      <w:r>
        <w:rPr>
          <w:rFonts w:hint="eastAsia" w:ascii="宋体" w:hAnsi="宋体" w:cs="宋体"/>
          <w:color w:val="000000"/>
          <w:sz w:val="24"/>
          <w:szCs w:val="24"/>
          <w:lang w:val="zh-CN"/>
        </w:rPr>
        <w:t>负责资格审查工作，将按下表所列举的审查标准对投标人基本资格条件进行审查，投标人若有一项不合格，即判定其基本资格条件审查结果为不合格，投标文件无效，不得进入后续评审阶段</w:t>
      </w:r>
    </w:p>
    <w:tbl>
      <w:tblPr>
        <w:tblStyle w:val="21"/>
        <w:tblW w:w="4996"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48"/>
        <w:gridCol w:w="2073"/>
        <w:gridCol w:w="7034"/>
      </w:tblGrid>
      <w:tr w14:paraId="7397A6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74" w:hRule="atLeast"/>
          <w:tblHeader/>
        </w:trPr>
        <w:tc>
          <w:tcPr>
            <w:tcW w:w="426" w:type="pct"/>
            <w:vAlign w:val="center"/>
          </w:tcPr>
          <w:p w14:paraId="7D67CF66">
            <w:pPr>
              <w:autoSpaceDE w:val="0"/>
              <w:autoSpaceDN w:val="0"/>
              <w:adjustRightInd w:val="0"/>
              <w:spacing w:line="360" w:lineRule="auto"/>
              <w:jc w:val="center"/>
              <w:rPr>
                <w:rFonts w:hint="eastAsia" w:ascii="宋体" w:hAnsi="宋体" w:cs="宋体"/>
                <w:bCs/>
                <w:color w:val="000000"/>
                <w:sz w:val="24"/>
                <w:szCs w:val="24"/>
                <w:lang w:val="zh-CN"/>
              </w:rPr>
            </w:pPr>
            <w:r>
              <w:rPr>
                <w:rFonts w:hint="eastAsia" w:ascii="宋体" w:hAnsi="宋体" w:cs="宋体"/>
                <w:bCs/>
                <w:color w:val="000000"/>
                <w:sz w:val="24"/>
                <w:szCs w:val="24"/>
              </w:rPr>
              <w:t>序号</w:t>
            </w:r>
          </w:p>
        </w:tc>
        <w:tc>
          <w:tcPr>
            <w:tcW w:w="1041" w:type="pct"/>
            <w:vAlign w:val="center"/>
          </w:tcPr>
          <w:p w14:paraId="128C82EE">
            <w:pPr>
              <w:autoSpaceDE w:val="0"/>
              <w:autoSpaceDN w:val="0"/>
              <w:adjustRightInd w:val="0"/>
              <w:spacing w:line="360" w:lineRule="auto"/>
              <w:jc w:val="center"/>
              <w:rPr>
                <w:rFonts w:hint="eastAsia" w:ascii="宋体" w:hAnsi="宋体" w:cs="宋体"/>
                <w:bCs/>
                <w:color w:val="000000"/>
                <w:sz w:val="24"/>
                <w:szCs w:val="24"/>
                <w:lang w:val="zh-CN"/>
              </w:rPr>
            </w:pPr>
            <w:r>
              <w:rPr>
                <w:rFonts w:hint="eastAsia" w:ascii="宋体" w:hAnsi="宋体" w:cs="宋体"/>
                <w:bCs/>
                <w:color w:val="000000"/>
                <w:sz w:val="24"/>
                <w:szCs w:val="24"/>
                <w:lang w:val="zh-CN"/>
              </w:rPr>
              <w:t>评审因素</w:t>
            </w:r>
          </w:p>
        </w:tc>
        <w:tc>
          <w:tcPr>
            <w:tcW w:w="3531" w:type="pct"/>
            <w:vAlign w:val="center"/>
          </w:tcPr>
          <w:p w14:paraId="33879624">
            <w:pPr>
              <w:autoSpaceDE w:val="0"/>
              <w:autoSpaceDN w:val="0"/>
              <w:adjustRightInd w:val="0"/>
              <w:spacing w:line="360" w:lineRule="auto"/>
              <w:jc w:val="center"/>
              <w:rPr>
                <w:rFonts w:hint="eastAsia" w:ascii="宋体" w:hAnsi="宋体" w:cs="宋体"/>
                <w:bCs/>
                <w:color w:val="000000"/>
                <w:sz w:val="24"/>
                <w:szCs w:val="24"/>
                <w:lang w:val="zh-CN"/>
              </w:rPr>
            </w:pPr>
            <w:r>
              <w:rPr>
                <w:rFonts w:hint="eastAsia" w:ascii="宋体" w:hAnsi="宋体" w:cs="宋体"/>
                <w:bCs/>
                <w:color w:val="000000"/>
                <w:sz w:val="24"/>
                <w:szCs w:val="24"/>
                <w:lang w:val="zh-CN"/>
              </w:rPr>
              <w:t>评审标准</w:t>
            </w:r>
          </w:p>
        </w:tc>
      </w:tr>
      <w:tr w14:paraId="7F4802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96" w:hRule="atLeast"/>
        </w:trPr>
        <w:tc>
          <w:tcPr>
            <w:tcW w:w="426" w:type="pct"/>
            <w:vAlign w:val="center"/>
          </w:tcPr>
          <w:p w14:paraId="1BED1AF0">
            <w:pPr>
              <w:autoSpaceDE w:val="0"/>
              <w:autoSpaceDN w:val="0"/>
              <w:adjustRightInd w:val="0"/>
              <w:spacing w:line="360" w:lineRule="auto"/>
              <w:jc w:val="center"/>
              <w:rPr>
                <w:rFonts w:hint="eastAsia" w:ascii="宋体" w:hAnsi="宋体" w:cs="宋体"/>
                <w:bCs/>
                <w:color w:val="000000"/>
                <w:sz w:val="24"/>
                <w:szCs w:val="24"/>
              </w:rPr>
            </w:pPr>
            <w:r>
              <w:rPr>
                <w:rFonts w:hint="eastAsia" w:ascii="宋体" w:hAnsi="宋体" w:cs="宋体"/>
                <w:bCs/>
                <w:color w:val="000000"/>
                <w:sz w:val="24"/>
                <w:szCs w:val="24"/>
              </w:rPr>
              <w:t>1</w:t>
            </w:r>
          </w:p>
        </w:tc>
        <w:tc>
          <w:tcPr>
            <w:tcW w:w="1041" w:type="pct"/>
            <w:vAlign w:val="center"/>
          </w:tcPr>
          <w:p w14:paraId="722F2E7E">
            <w:pPr>
              <w:autoSpaceDE w:val="0"/>
              <w:autoSpaceDN w:val="0"/>
              <w:adjustRightInd w:val="0"/>
              <w:spacing w:line="360" w:lineRule="auto"/>
              <w:jc w:val="left"/>
              <w:rPr>
                <w:rFonts w:hint="eastAsia" w:ascii="宋体" w:hAnsi="宋体" w:cs="宋体"/>
                <w:bCs/>
                <w:color w:val="000000"/>
                <w:sz w:val="24"/>
                <w:szCs w:val="24"/>
                <w:lang w:val="zh-CN"/>
              </w:rPr>
            </w:pPr>
            <w:r>
              <w:rPr>
                <w:rFonts w:hint="eastAsia" w:ascii="宋体" w:hAnsi="宋体" w:cs="宋体"/>
                <w:bCs/>
                <w:color w:val="000000"/>
                <w:sz w:val="24"/>
                <w:szCs w:val="24"/>
                <w:lang w:val="zh-CN"/>
              </w:rPr>
              <w:t>营业执照副本</w:t>
            </w:r>
          </w:p>
        </w:tc>
        <w:tc>
          <w:tcPr>
            <w:tcW w:w="3531" w:type="pct"/>
            <w:vAlign w:val="center"/>
          </w:tcPr>
          <w:p w14:paraId="171798A7">
            <w:pPr>
              <w:autoSpaceDE w:val="0"/>
              <w:autoSpaceDN w:val="0"/>
              <w:adjustRightInd w:val="0"/>
              <w:spacing w:line="360" w:lineRule="auto"/>
              <w:rPr>
                <w:rFonts w:hint="eastAsia" w:ascii="宋体" w:hAnsi="宋体" w:cs="宋体"/>
                <w:bCs/>
                <w:color w:val="000000"/>
                <w:sz w:val="24"/>
                <w:szCs w:val="24"/>
                <w:lang w:val="zh-CN"/>
              </w:rPr>
            </w:pPr>
            <w:r>
              <w:rPr>
                <w:rFonts w:hint="eastAsia" w:ascii="宋体" w:hAnsi="宋体" w:cs="宋体"/>
                <w:bCs/>
                <w:color w:val="000000"/>
                <w:sz w:val="24"/>
                <w:szCs w:val="24"/>
                <w:lang w:val="zh-CN"/>
              </w:rPr>
              <w:t>具备有效的营业执照副本</w:t>
            </w:r>
            <w:r>
              <w:rPr>
                <w:rFonts w:hint="eastAsia" w:ascii="宋体" w:hAnsi="宋体" w:cs="宋体"/>
                <w:b/>
                <w:bCs/>
                <w:color w:val="000000"/>
                <w:sz w:val="24"/>
                <w:szCs w:val="24"/>
                <w:lang w:val="zh-CN"/>
              </w:rPr>
              <w:t>（标书内附复印件加盖公章）</w:t>
            </w:r>
          </w:p>
        </w:tc>
      </w:tr>
      <w:tr w14:paraId="3FE06D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161" w:hRule="atLeast"/>
        </w:trPr>
        <w:tc>
          <w:tcPr>
            <w:tcW w:w="426" w:type="pct"/>
            <w:vAlign w:val="center"/>
          </w:tcPr>
          <w:p w14:paraId="088E2B2F">
            <w:pPr>
              <w:autoSpaceDE w:val="0"/>
              <w:autoSpaceDN w:val="0"/>
              <w:adjustRightInd w:val="0"/>
              <w:spacing w:line="360" w:lineRule="auto"/>
              <w:jc w:val="center"/>
              <w:rPr>
                <w:rFonts w:hint="eastAsia" w:ascii="宋体" w:hAnsi="宋体" w:cs="宋体"/>
                <w:bCs/>
                <w:color w:val="000000"/>
                <w:sz w:val="24"/>
                <w:szCs w:val="24"/>
              </w:rPr>
            </w:pPr>
            <w:r>
              <w:rPr>
                <w:rFonts w:hint="eastAsia" w:ascii="宋体" w:hAnsi="宋体" w:cs="宋体"/>
                <w:bCs/>
                <w:color w:val="000000"/>
                <w:sz w:val="24"/>
                <w:szCs w:val="24"/>
              </w:rPr>
              <w:t>2</w:t>
            </w:r>
          </w:p>
        </w:tc>
        <w:tc>
          <w:tcPr>
            <w:tcW w:w="1041" w:type="pct"/>
            <w:vAlign w:val="center"/>
          </w:tcPr>
          <w:p w14:paraId="511B5575">
            <w:pPr>
              <w:autoSpaceDE w:val="0"/>
              <w:autoSpaceDN w:val="0"/>
              <w:adjustRightInd w:val="0"/>
              <w:spacing w:line="360" w:lineRule="auto"/>
              <w:rPr>
                <w:rFonts w:hint="eastAsia" w:ascii="宋体" w:hAnsi="宋体" w:cs="宋体"/>
                <w:bCs/>
                <w:color w:val="000000"/>
                <w:sz w:val="24"/>
                <w:szCs w:val="24"/>
                <w:lang w:val="zh-CN"/>
              </w:rPr>
            </w:pPr>
            <w:r>
              <w:rPr>
                <w:rFonts w:hint="eastAsia" w:ascii="宋体" w:hAnsi="宋体" w:cs="宋体"/>
                <w:bCs/>
                <w:color w:val="000000"/>
                <w:sz w:val="24"/>
                <w:szCs w:val="24"/>
                <w:lang w:val="zh-CN"/>
              </w:rPr>
              <w:t>财务要求</w:t>
            </w:r>
          </w:p>
        </w:tc>
        <w:tc>
          <w:tcPr>
            <w:tcW w:w="3531" w:type="pct"/>
            <w:vAlign w:val="center"/>
          </w:tcPr>
          <w:p w14:paraId="20AA49DD">
            <w:pPr>
              <w:autoSpaceDE w:val="0"/>
              <w:autoSpaceDN w:val="0"/>
              <w:adjustRightInd w:val="0"/>
              <w:spacing w:line="360" w:lineRule="auto"/>
              <w:rPr>
                <w:rFonts w:hint="eastAsia" w:ascii="宋体" w:hAnsi="宋体" w:cs="宋体"/>
                <w:bCs/>
                <w:color w:val="000000"/>
                <w:sz w:val="24"/>
                <w:szCs w:val="24"/>
                <w:lang w:val="zh-CN"/>
              </w:rPr>
            </w:pPr>
            <w:r>
              <w:rPr>
                <w:rFonts w:hint="eastAsia" w:ascii="宋体" w:hAnsi="宋体" w:cs="宋体"/>
                <w:color w:val="000000"/>
                <w:sz w:val="24"/>
                <w:szCs w:val="24"/>
              </w:rPr>
              <w:t>提供经第三方会计师事务所审计的2023年完整有效的企业财务审计报告或提供其基本开户银行在投标截止日前，六个月内出具的资信证明（银行出具的存款证明不能替代银行资信证明）；</w:t>
            </w:r>
            <w:r>
              <w:rPr>
                <w:rFonts w:hint="eastAsia" w:ascii="宋体" w:hAnsi="宋体" w:cs="宋体"/>
                <w:b/>
                <w:bCs/>
                <w:color w:val="000000"/>
                <w:sz w:val="24"/>
                <w:szCs w:val="24"/>
                <w:lang w:val="zh-CN"/>
              </w:rPr>
              <w:t>（标书内附复印件加盖公章）</w:t>
            </w:r>
          </w:p>
        </w:tc>
      </w:tr>
      <w:tr w14:paraId="5D01AA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63" w:hRule="atLeast"/>
        </w:trPr>
        <w:tc>
          <w:tcPr>
            <w:tcW w:w="426" w:type="pct"/>
            <w:vAlign w:val="center"/>
          </w:tcPr>
          <w:p w14:paraId="1FD16175">
            <w:pPr>
              <w:autoSpaceDE w:val="0"/>
              <w:autoSpaceDN w:val="0"/>
              <w:adjustRightInd w:val="0"/>
              <w:spacing w:line="360" w:lineRule="auto"/>
              <w:jc w:val="center"/>
              <w:rPr>
                <w:rFonts w:hint="eastAsia" w:ascii="宋体" w:hAnsi="宋体" w:cs="宋体"/>
                <w:bCs/>
                <w:color w:val="000000"/>
                <w:sz w:val="24"/>
                <w:szCs w:val="24"/>
              </w:rPr>
            </w:pPr>
            <w:r>
              <w:rPr>
                <w:rFonts w:hint="eastAsia" w:ascii="宋体" w:hAnsi="宋体" w:cs="宋体"/>
                <w:bCs/>
                <w:color w:val="000000"/>
                <w:sz w:val="24"/>
                <w:szCs w:val="24"/>
              </w:rPr>
              <w:t>3</w:t>
            </w:r>
          </w:p>
        </w:tc>
        <w:tc>
          <w:tcPr>
            <w:tcW w:w="1041" w:type="pct"/>
            <w:vAlign w:val="center"/>
          </w:tcPr>
          <w:p w14:paraId="3E948DF6">
            <w:pPr>
              <w:autoSpaceDE w:val="0"/>
              <w:autoSpaceDN w:val="0"/>
              <w:adjustRightInd w:val="0"/>
              <w:spacing w:line="360" w:lineRule="auto"/>
              <w:rPr>
                <w:rFonts w:hint="eastAsia" w:ascii="宋体" w:hAnsi="宋体" w:cs="宋体"/>
                <w:bCs/>
                <w:color w:val="000000"/>
                <w:sz w:val="24"/>
                <w:szCs w:val="24"/>
                <w:lang w:val="zh-CN"/>
              </w:rPr>
            </w:pPr>
            <w:r>
              <w:rPr>
                <w:rFonts w:hint="eastAsia" w:ascii="宋体" w:hAnsi="宋体" w:cs="宋体"/>
                <w:bCs/>
                <w:color w:val="000000"/>
                <w:sz w:val="24"/>
                <w:szCs w:val="24"/>
                <w:lang w:val="zh-CN"/>
              </w:rPr>
              <w:t>依法缴纳税收的良好记录</w:t>
            </w:r>
          </w:p>
        </w:tc>
        <w:tc>
          <w:tcPr>
            <w:tcW w:w="3531" w:type="pct"/>
            <w:vAlign w:val="center"/>
          </w:tcPr>
          <w:p w14:paraId="6416E2A4">
            <w:pPr>
              <w:autoSpaceDE w:val="0"/>
              <w:autoSpaceDN w:val="0"/>
              <w:adjustRightInd w:val="0"/>
              <w:spacing w:line="360" w:lineRule="auto"/>
              <w:rPr>
                <w:rFonts w:hint="eastAsia" w:ascii="宋体" w:hAnsi="宋体" w:cs="宋体"/>
                <w:bCs/>
                <w:color w:val="000000"/>
                <w:sz w:val="24"/>
                <w:szCs w:val="24"/>
                <w:lang w:val="zh-CN"/>
              </w:rPr>
            </w:pPr>
            <w:r>
              <w:rPr>
                <w:rFonts w:hint="eastAsia" w:ascii="宋体" w:hAnsi="宋体" w:cs="宋体"/>
                <w:bCs/>
                <w:color w:val="000000"/>
                <w:sz w:val="24"/>
                <w:szCs w:val="24"/>
                <w:lang w:val="zh-CN"/>
              </w:rPr>
              <w:t>提供投标截止日前，一年内任一月份的缴税凭据或完税证明等；依法免税的，应提供相应文件证明其依法免税；</w:t>
            </w:r>
            <w:r>
              <w:rPr>
                <w:rFonts w:hint="eastAsia" w:ascii="宋体" w:hAnsi="宋体" w:cs="宋体"/>
                <w:b/>
                <w:bCs/>
                <w:color w:val="000000"/>
                <w:sz w:val="24"/>
                <w:szCs w:val="24"/>
                <w:lang w:val="zh-CN"/>
              </w:rPr>
              <w:t>（标书内附复印件加盖公章）</w:t>
            </w:r>
          </w:p>
        </w:tc>
      </w:tr>
      <w:tr w14:paraId="67B7F4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886" w:hRule="atLeast"/>
        </w:trPr>
        <w:tc>
          <w:tcPr>
            <w:tcW w:w="426" w:type="pct"/>
            <w:vAlign w:val="center"/>
          </w:tcPr>
          <w:p w14:paraId="23F06947">
            <w:pPr>
              <w:autoSpaceDE w:val="0"/>
              <w:autoSpaceDN w:val="0"/>
              <w:adjustRightInd w:val="0"/>
              <w:spacing w:line="360" w:lineRule="auto"/>
              <w:jc w:val="center"/>
              <w:rPr>
                <w:rFonts w:hint="eastAsia" w:ascii="宋体" w:hAnsi="宋体" w:cs="宋体"/>
                <w:bCs/>
                <w:color w:val="000000"/>
                <w:sz w:val="24"/>
                <w:szCs w:val="24"/>
              </w:rPr>
            </w:pPr>
            <w:r>
              <w:rPr>
                <w:rFonts w:hint="eastAsia" w:ascii="宋体" w:hAnsi="宋体" w:cs="宋体"/>
                <w:bCs/>
                <w:color w:val="000000"/>
                <w:sz w:val="24"/>
                <w:szCs w:val="24"/>
              </w:rPr>
              <w:t>4</w:t>
            </w:r>
          </w:p>
        </w:tc>
        <w:tc>
          <w:tcPr>
            <w:tcW w:w="1041" w:type="pct"/>
            <w:vAlign w:val="center"/>
          </w:tcPr>
          <w:p w14:paraId="59039FEF">
            <w:pPr>
              <w:autoSpaceDE w:val="0"/>
              <w:autoSpaceDN w:val="0"/>
              <w:adjustRightInd w:val="0"/>
              <w:spacing w:line="360" w:lineRule="auto"/>
              <w:rPr>
                <w:rFonts w:hint="eastAsia" w:ascii="宋体" w:hAnsi="宋体" w:cs="宋体"/>
                <w:color w:val="000000"/>
                <w:sz w:val="24"/>
                <w:szCs w:val="24"/>
              </w:rPr>
            </w:pPr>
            <w:r>
              <w:rPr>
                <w:rFonts w:hint="eastAsia" w:ascii="宋体" w:hAnsi="宋体" w:cs="宋体"/>
                <w:bCs/>
                <w:color w:val="000000"/>
                <w:sz w:val="24"/>
                <w:szCs w:val="24"/>
                <w:lang w:val="zh-CN"/>
              </w:rPr>
              <w:t>依法缴纳社会保障资金的良好记录</w:t>
            </w:r>
          </w:p>
        </w:tc>
        <w:tc>
          <w:tcPr>
            <w:tcW w:w="3531" w:type="pct"/>
            <w:vAlign w:val="center"/>
          </w:tcPr>
          <w:p w14:paraId="7B1B772D">
            <w:pPr>
              <w:autoSpaceDE w:val="0"/>
              <w:autoSpaceDN w:val="0"/>
              <w:adjustRightInd w:val="0"/>
              <w:spacing w:line="360" w:lineRule="auto"/>
              <w:rPr>
                <w:rFonts w:hint="eastAsia" w:ascii="宋体" w:hAnsi="宋体" w:cs="宋体"/>
                <w:color w:val="000000"/>
                <w:sz w:val="24"/>
                <w:szCs w:val="24"/>
              </w:rPr>
            </w:pPr>
            <w:r>
              <w:rPr>
                <w:rFonts w:hint="eastAsia" w:ascii="宋体" w:hAnsi="宋体" w:cs="宋体"/>
                <w:bCs/>
                <w:color w:val="000000"/>
                <w:sz w:val="24"/>
                <w:szCs w:val="24"/>
                <w:lang w:val="zh-CN"/>
              </w:rPr>
              <w:t>提供投标截止日前，一年内任一月份缴纳社会保险的凭据；依法不需要缴纳社会保险的，应提供相应文件证明其依法不需要缴纳社会保险；</w:t>
            </w:r>
            <w:r>
              <w:rPr>
                <w:rFonts w:hint="eastAsia" w:ascii="宋体" w:hAnsi="宋体" w:cs="宋体"/>
                <w:b/>
                <w:bCs/>
                <w:color w:val="000000"/>
                <w:sz w:val="24"/>
                <w:szCs w:val="24"/>
                <w:lang w:val="zh-CN"/>
              </w:rPr>
              <w:t>（标书内附复印件加盖公章）</w:t>
            </w:r>
          </w:p>
        </w:tc>
      </w:tr>
      <w:tr w14:paraId="1BDCD4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479" w:hRule="atLeast"/>
        </w:trPr>
        <w:tc>
          <w:tcPr>
            <w:tcW w:w="426" w:type="pct"/>
            <w:vAlign w:val="center"/>
          </w:tcPr>
          <w:p w14:paraId="1718B18B">
            <w:pPr>
              <w:autoSpaceDE w:val="0"/>
              <w:autoSpaceDN w:val="0"/>
              <w:adjustRightInd w:val="0"/>
              <w:spacing w:line="360" w:lineRule="auto"/>
              <w:jc w:val="center"/>
              <w:rPr>
                <w:rFonts w:hint="eastAsia" w:ascii="宋体" w:hAnsi="宋体" w:cs="宋体"/>
                <w:bCs/>
                <w:color w:val="000000"/>
                <w:sz w:val="24"/>
                <w:szCs w:val="24"/>
              </w:rPr>
            </w:pPr>
            <w:r>
              <w:rPr>
                <w:rFonts w:hint="eastAsia" w:ascii="宋体" w:hAnsi="宋体" w:cs="宋体"/>
                <w:bCs/>
                <w:color w:val="000000"/>
                <w:sz w:val="24"/>
                <w:szCs w:val="24"/>
              </w:rPr>
              <w:t>5</w:t>
            </w:r>
          </w:p>
        </w:tc>
        <w:tc>
          <w:tcPr>
            <w:tcW w:w="1041" w:type="pct"/>
            <w:vAlign w:val="center"/>
          </w:tcPr>
          <w:p w14:paraId="295FD98B">
            <w:pPr>
              <w:autoSpaceDE w:val="0"/>
              <w:autoSpaceDN w:val="0"/>
              <w:adjustRightInd w:val="0"/>
              <w:spacing w:line="360" w:lineRule="auto"/>
              <w:rPr>
                <w:rFonts w:hint="eastAsia" w:ascii="宋体" w:hAnsi="宋体" w:cs="宋体"/>
                <w:bCs/>
                <w:color w:val="000000"/>
                <w:sz w:val="24"/>
                <w:szCs w:val="24"/>
                <w:lang w:val="zh-CN"/>
              </w:rPr>
            </w:pPr>
            <w:r>
              <w:rPr>
                <w:rFonts w:hint="eastAsia" w:ascii="宋体" w:hAnsi="宋体" w:cs="宋体"/>
                <w:bCs/>
                <w:color w:val="000000"/>
                <w:sz w:val="24"/>
                <w:szCs w:val="24"/>
                <w:lang w:val="zh-CN"/>
              </w:rPr>
              <w:t>良好信用记录</w:t>
            </w:r>
          </w:p>
        </w:tc>
        <w:tc>
          <w:tcPr>
            <w:tcW w:w="3531" w:type="pct"/>
            <w:vAlign w:val="center"/>
          </w:tcPr>
          <w:p w14:paraId="5D297E3D">
            <w:pPr>
              <w:autoSpaceDE w:val="0"/>
              <w:autoSpaceDN w:val="0"/>
              <w:adjustRightInd w:val="0"/>
              <w:spacing w:line="360" w:lineRule="auto"/>
              <w:rPr>
                <w:rFonts w:hint="eastAsia" w:ascii="宋体" w:hAnsi="宋体" w:cs="宋体"/>
                <w:bCs/>
                <w:color w:val="000000"/>
                <w:sz w:val="24"/>
                <w:szCs w:val="24"/>
                <w:lang w:val="zh-CN"/>
              </w:rPr>
            </w:pPr>
            <w:r>
              <w:rPr>
                <w:rFonts w:hint="eastAsia" w:ascii="宋体" w:hAnsi="宋体" w:cs="宋体"/>
                <w:bCs/>
                <w:color w:val="000000"/>
                <w:sz w:val="24"/>
                <w:szCs w:val="24"/>
                <w:lang w:val="zh-CN"/>
              </w:rPr>
              <w:t>提供“信用中国”网站（www.creditchina.gov.cn）、中国政府采购网（www.ccgp.gov.cn）渠道查询投标人信用记录。经查询，列入失信被执行人、重大税收违法失信主体、政府采购严重违法失信行为记录名单，其投标无效。</w:t>
            </w:r>
            <w:r>
              <w:rPr>
                <w:rFonts w:hint="eastAsia" w:ascii="宋体" w:hAnsi="宋体" w:cs="宋体"/>
                <w:b/>
                <w:color w:val="000000"/>
                <w:sz w:val="24"/>
                <w:szCs w:val="24"/>
                <w:lang w:val="zh-CN"/>
              </w:rPr>
              <w:t>（标书内提供网站截图加盖公章）</w:t>
            </w:r>
          </w:p>
        </w:tc>
      </w:tr>
      <w:tr w14:paraId="788804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74" w:hRule="atLeast"/>
        </w:trPr>
        <w:tc>
          <w:tcPr>
            <w:tcW w:w="426" w:type="pct"/>
            <w:vAlign w:val="center"/>
          </w:tcPr>
          <w:p w14:paraId="01D908D6">
            <w:pPr>
              <w:autoSpaceDE w:val="0"/>
              <w:autoSpaceDN w:val="0"/>
              <w:adjustRightInd w:val="0"/>
              <w:spacing w:line="360" w:lineRule="auto"/>
              <w:jc w:val="center"/>
              <w:rPr>
                <w:rFonts w:hint="eastAsia" w:ascii="宋体" w:hAnsi="宋体" w:cs="宋体"/>
                <w:bCs/>
                <w:color w:val="000000"/>
                <w:sz w:val="24"/>
                <w:szCs w:val="24"/>
              </w:rPr>
            </w:pPr>
            <w:r>
              <w:rPr>
                <w:rFonts w:hint="eastAsia" w:ascii="宋体" w:hAnsi="宋体" w:cs="宋体"/>
                <w:bCs/>
                <w:color w:val="000000"/>
                <w:sz w:val="24"/>
                <w:szCs w:val="24"/>
              </w:rPr>
              <w:t>6</w:t>
            </w:r>
          </w:p>
        </w:tc>
        <w:tc>
          <w:tcPr>
            <w:tcW w:w="1041" w:type="pct"/>
            <w:vAlign w:val="center"/>
          </w:tcPr>
          <w:p w14:paraId="7E34AE7D">
            <w:pPr>
              <w:autoSpaceDE w:val="0"/>
              <w:autoSpaceDN w:val="0"/>
              <w:adjustRightInd w:val="0"/>
              <w:spacing w:line="360" w:lineRule="auto"/>
              <w:jc w:val="center"/>
              <w:rPr>
                <w:rFonts w:hint="eastAsia" w:ascii="宋体" w:hAnsi="宋体" w:cs="宋体"/>
                <w:bCs/>
                <w:color w:val="000000"/>
                <w:sz w:val="24"/>
                <w:szCs w:val="24"/>
                <w:lang w:val="zh-CN"/>
              </w:rPr>
            </w:pPr>
            <w:r>
              <w:rPr>
                <w:rFonts w:hint="eastAsia" w:ascii="宋体" w:hAnsi="宋体" w:cs="宋体"/>
                <w:bCs/>
                <w:color w:val="000000"/>
                <w:sz w:val="24"/>
                <w:szCs w:val="24"/>
                <w:lang w:val="zh-CN"/>
              </w:rPr>
              <w:t>参加政府采购活动前三年内，在经营活动中没有重大违法记录</w:t>
            </w:r>
          </w:p>
        </w:tc>
        <w:tc>
          <w:tcPr>
            <w:tcW w:w="3531" w:type="pct"/>
            <w:vAlign w:val="center"/>
          </w:tcPr>
          <w:p w14:paraId="4616ECD2">
            <w:pPr>
              <w:autoSpaceDE w:val="0"/>
              <w:autoSpaceDN w:val="0"/>
              <w:adjustRightInd w:val="0"/>
              <w:spacing w:line="360" w:lineRule="auto"/>
              <w:rPr>
                <w:rFonts w:hint="eastAsia" w:ascii="宋体" w:hAnsi="宋体" w:cs="宋体"/>
                <w:bCs/>
                <w:color w:val="000000"/>
                <w:sz w:val="24"/>
                <w:szCs w:val="24"/>
                <w:lang w:val="zh-CN"/>
              </w:rPr>
            </w:pPr>
            <w:r>
              <w:rPr>
                <w:rFonts w:hint="eastAsia" w:ascii="宋体" w:hAnsi="宋体" w:cs="宋体"/>
                <w:bCs/>
                <w:color w:val="000000"/>
                <w:sz w:val="24"/>
                <w:szCs w:val="24"/>
                <w:lang w:val="zh-CN"/>
              </w:rPr>
              <w:t>提供企业近三年无重大违法记录声明函</w:t>
            </w:r>
            <w:r>
              <w:rPr>
                <w:rFonts w:hint="eastAsia" w:ascii="宋体" w:hAnsi="宋体" w:cs="宋体"/>
                <w:b/>
                <w:color w:val="000000"/>
                <w:sz w:val="24"/>
                <w:szCs w:val="24"/>
                <w:lang w:val="zh-CN"/>
              </w:rPr>
              <w:t>（标书内</w:t>
            </w:r>
            <w:r>
              <w:rPr>
                <w:rFonts w:hint="eastAsia" w:ascii="宋体" w:hAnsi="宋体" w:cs="宋体"/>
                <w:b/>
                <w:color w:val="000000"/>
                <w:sz w:val="24"/>
                <w:szCs w:val="24"/>
              </w:rPr>
              <w:t>附复印件并</w:t>
            </w:r>
            <w:r>
              <w:rPr>
                <w:rFonts w:hint="eastAsia" w:ascii="宋体" w:hAnsi="宋体" w:cs="宋体"/>
                <w:b/>
                <w:color w:val="000000"/>
                <w:sz w:val="24"/>
                <w:szCs w:val="24"/>
                <w:lang w:val="zh-CN"/>
              </w:rPr>
              <w:t>加盖公章）</w:t>
            </w:r>
          </w:p>
        </w:tc>
      </w:tr>
      <w:tr w14:paraId="586362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74" w:hRule="atLeast"/>
        </w:trPr>
        <w:tc>
          <w:tcPr>
            <w:tcW w:w="426" w:type="pct"/>
            <w:vAlign w:val="center"/>
          </w:tcPr>
          <w:p w14:paraId="15342971">
            <w:pPr>
              <w:autoSpaceDE w:val="0"/>
              <w:autoSpaceDN w:val="0"/>
              <w:adjustRightInd w:val="0"/>
              <w:spacing w:line="360" w:lineRule="auto"/>
              <w:jc w:val="center"/>
              <w:rPr>
                <w:rFonts w:hint="eastAsia" w:ascii="宋体" w:hAnsi="宋体" w:cs="宋体"/>
                <w:bCs/>
                <w:color w:val="000000"/>
                <w:sz w:val="24"/>
                <w:szCs w:val="24"/>
              </w:rPr>
            </w:pPr>
            <w:r>
              <w:rPr>
                <w:rFonts w:hint="eastAsia" w:ascii="宋体" w:hAnsi="宋体" w:cs="宋体"/>
                <w:bCs/>
                <w:color w:val="000000"/>
                <w:sz w:val="24"/>
                <w:szCs w:val="24"/>
              </w:rPr>
              <w:t>7</w:t>
            </w:r>
          </w:p>
        </w:tc>
        <w:tc>
          <w:tcPr>
            <w:tcW w:w="2075" w:type="dxa"/>
            <w:vAlign w:val="center"/>
          </w:tcPr>
          <w:p w14:paraId="0D268B20">
            <w:pPr>
              <w:autoSpaceDE w:val="0"/>
              <w:autoSpaceDN w:val="0"/>
              <w:adjustRightInd w:val="0"/>
              <w:spacing w:line="240" w:lineRule="atLeast"/>
              <w:rPr>
                <w:rFonts w:hint="eastAsia" w:ascii="宋体" w:hAnsi="宋体" w:cs="宋体"/>
                <w:bCs/>
                <w:color w:val="000000"/>
                <w:sz w:val="24"/>
                <w:szCs w:val="24"/>
              </w:rPr>
            </w:pPr>
            <w:r>
              <w:rPr>
                <w:rFonts w:hint="eastAsia" w:ascii="宋体" w:hAnsi="宋体" w:cs="宋体"/>
                <w:bCs/>
                <w:color w:val="000000"/>
                <w:sz w:val="24"/>
                <w:szCs w:val="24"/>
              </w:rPr>
              <w:t xml:space="preserve">中小企业证明文 </w:t>
            </w:r>
          </w:p>
          <w:p w14:paraId="1AB41183">
            <w:pPr>
              <w:autoSpaceDE w:val="0"/>
              <w:autoSpaceDN w:val="0"/>
              <w:adjustRightInd w:val="0"/>
              <w:spacing w:line="240" w:lineRule="atLeast"/>
              <w:rPr>
                <w:rFonts w:hint="eastAsia" w:ascii="宋体" w:hAnsi="宋体" w:cs="宋体"/>
                <w:bCs/>
                <w:color w:val="000000"/>
                <w:sz w:val="24"/>
                <w:szCs w:val="24"/>
              </w:rPr>
            </w:pPr>
            <w:r>
              <w:rPr>
                <w:rFonts w:hint="eastAsia" w:ascii="宋体" w:hAnsi="宋体" w:cs="宋体"/>
                <w:bCs/>
                <w:color w:val="000000"/>
                <w:sz w:val="24"/>
                <w:szCs w:val="24"/>
              </w:rPr>
              <w:t>件</w:t>
            </w:r>
          </w:p>
        </w:tc>
        <w:tc>
          <w:tcPr>
            <w:tcW w:w="7032" w:type="dxa"/>
            <w:vAlign w:val="center"/>
          </w:tcPr>
          <w:p w14:paraId="09107BA0">
            <w:pPr>
              <w:autoSpaceDE w:val="0"/>
              <w:autoSpaceDN w:val="0"/>
              <w:adjustRightInd w:val="0"/>
              <w:spacing w:line="240" w:lineRule="atLeast"/>
              <w:rPr>
                <w:rFonts w:hint="eastAsia" w:ascii="宋体" w:hAnsi="宋体" w:cs="宋体"/>
                <w:bCs/>
                <w:color w:val="000000"/>
                <w:sz w:val="24"/>
                <w:szCs w:val="24"/>
                <w:lang w:val="zh-CN"/>
              </w:rPr>
            </w:pPr>
            <w:r>
              <w:rPr>
                <w:rFonts w:hint="eastAsia" w:ascii="宋体" w:hAnsi="宋体" w:cs="宋体"/>
                <w:bCs/>
                <w:color w:val="000000"/>
                <w:sz w:val="24"/>
                <w:szCs w:val="24"/>
              </w:rPr>
              <w:t>本项目专门面向中小企业采购，提供《中小企业声明函》或《残疾人福利性单位声明函》或由省级以上监狱管理局、戒毒管理局（含新疆生产建设兵团）出具的属于监狱企业的证明文件</w:t>
            </w:r>
            <w:r>
              <w:rPr>
                <w:rFonts w:hint="eastAsia" w:ascii="宋体" w:hAnsi="宋体" w:cs="宋体"/>
                <w:bCs/>
                <w:color w:val="000000"/>
                <w:sz w:val="24"/>
                <w:szCs w:val="24"/>
                <w:lang w:val="zh-CN"/>
              </w:rPr>
              <w:t>（详见文件格式）</w:t>
            </w:r>
            <w:r>
              <w:rPr>
                <w:rFonts w:hint="eastAsia" w:ascii="宋体" w:hAnsi="宋体" w:cs="宋体"/>
                <w:b/>
                <w:color w:val="000000"/>
                <w:sz w:val="24"/>
                <w:szCs w:val="24"/>
                <w:lang w:val="zh-CN"/>
              </w:rPr>
              <w:t>（标书内</w:t>
            </w:r>
            <w:r>
              <w:rPr>
                <w:rFonts w:hint="eastAsia" w:ascii="宋体" w:hAnsi="宋体" w:cs="宋体"/>
                <w:b/>
                <w:color w:val="000000"/>
                <w:sz w:val="24"/>
                <w:szCs w:val="24"/>
              </w:rPr>
              <w:t>附复印件并</w:t>
            </w:r>
            <w:r>
              <w:rPr>
                <w:rFonts w:hint="eastAsia" w:ascii="宋体" w:hAnsi="宋体" w:cs="宋体"/>
                <w:b/>
                <w:color w:val="000000"/>
                <w:sz w:val="24"/>
                <w:szCs w:val="24"/>
                <w:lang w:val="zh-CN"/>
              </w:rPr>
              <w:t>加盖公章）</w:t>
            </w:r>
          </w:p>
        </w:tc>
      </w:tr>
      <w:tr w14:paraId="476220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74" w:hRule="atLeast"/>
        </w:trPr>
        <w:tc>
          <w:tcPr>
            <w:tcW w:w="426" w:type="pct"/>
            <w:vAlign w:val="center"/>
          </w:tcPr>
          <w:p w14:paraId="77D8A69F">
            <w:pPr>
              <w:autoSpaceDE w:val="0"/>
              <w:autoSpaceDN w:val="0"/>
              <w:adjustRightInd w:val="0"/>
              <w:spacing w:line="360" w:lineRule="auto"/>
              <w:jc w:val="center"/>
              <w:rPr>
                <w:rFonts w:hint="eastAsia" w:ascii="宋体" w:hAnsi="宋体" w:cs="宋体"/>
                <w:bCs/>
                <w:color w:val="000000"/>
                <w:sz w:val="24"/>
                <w:szCs w:val="24"/>
              </w:rPr>
            </w:pPr>
            <w:r>
              <w:rPr>
                <w:rFonts w:hint="eastAsia" w:ascii="宋体" w:hAnsi="宋体" w:cs="宋体"/>
                <w:bCs/>
                <w:color w:val="000000"/>
                <w:sz w:val="24"/>
                <w:szCs w:val="24"/>
              </w:rPr>
              <w:t>8</w:t>
            </w:r>
          </w:p>
        </w:tc>
        <w:tc>
          <w:tcPr>
            <w:tcW w:w="1041" w:type="pct"/>
            <w:shd w:val="clear" w:color="auto" w:fill="auto"/>
            <w:vAlign w:val="center"/>
          </w:tcPr>
          <w:p w14:paraId="4D7D1C7E">
            <w:pPr>
              <w:autoSpaceDE w:val="0"/>
              <w:autoSpaceDN w:val="0"/>
              <w:adjustRightInd w:val="0"/>
              <w:spacing w:line="360" w:lineRule="auto"/>
              <w:jc w:val="center"/>
              <w:rPr>
                <w:rFonts w:hint="eastAsia" w:ascii="宋体" w:hAnsi="宋体" w:cs="宋体"/>
                <w:bCs/>
                <w:color w:val="000000"/>
                <w:sz w:val="24"/>
                <w:szCs w:val="24"/>
              </w:rPr>
            </w:pPr>
            <w:r>
              <w:rPr>
                <w:rFonts w:hint="eastAsia" w:ascii="宋体" w:hAnsi="宋体" w:cs="宋体"/>
                <w:bCs/>
                <w:color w:val="000000"/>
                <w:sz w:val="24"/>
                <w:szCs w:val="24"/>
              </w:rPr>
              <w:t>其他要求</w:t>
            </w:r>
          </w:p>
        </w:tc>
        <w:tc>
          <w:tcPr>
            <w:tcW w:w="3531" w:type="pct"/>
            <w:shd w:val="clear" w:color="auto" w:fill="auto"/>
            <w:vAlign w:val="center"/>
          </w:tcPr>
          <w:p w14:paraId="53BAFBFE">
            <w:pPr>
              <w:autoSpaceDE w:val="0"/>
              <w:autoSpaceDN w:val="0"/>
              <w:adjustRightInd w:val="0"/>
              <w:rPr>
                <w:rFonts w:hint="eastAsia" w:ascii="宋体" w:hAnsi="宋体" w:cs="宋体"/>
                <w:bCs/>
                <w:color w:val="000000"/>
                <w:sz w:val="24"/>
                <w:szCs w:val="24"/>
                <w:lang w:val="zh-CN"/>
              </w:rPr>
            </w:pPr>
            <w:r>
              <w:rPr>
                <w:rFonts w:hint="eastAsia" w:ascii="宋体" w:hAnsi="宋体" w:cs="宋体"/>
                <w:sz w:val="24"/>
                <w:szCs w:val="24"/>
              </w:rPr>
              <w:t>与采购人存在利害关系可能影响招标公正性的法人、其他组织或者个人，不得参加投标。单位负责人为同一人或者存在控股、管理关系的不同单位，不得参加同一标段投标或者未划分标段的同一招标项目投标。违反这两款规定的，相关投标应当被否决</w:t>
            </w:r>
            <w:r>
              <w:rPr>
                <w:rFonts w:hint="eastAsia" w:ascii="宋体" w:hAnsi="宋体" w:cs="宋体"/>
                <w:b/>
                <w:bCs/>
                <w:sz w:val="24"/>
                <w:szCs w:val="24"/>
                <w:lang w:val="zh-CN"/>
              </w:rPr>
              <w:t>（标书内附法定代表人签字并加盖公章的承诺书）</w:t>
            </w:r>
          </w:p>
        </w:tc>
      </w:tr>
      <w:tr w14:paraId="342065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70" w:hRule="atLeast"/>
        </w:trPr>
        <w:tc>
          <w:tcPr>
            <w:tcW w:w="426" w:type="pct"/>
          </w:tcPr>
          <w:p w14:paraId="1A86D268">
            <w:pPr>
              <w:spacing w:before="75" w:line="360" w:lineRule="auto"/>
              <w:ind w:left="135"/>
              <w:rPr>
                <w:rFonts w:hint="eastAsia" w:ascii="宋体" w:hAnsi="宋体" w:cs="宋体"/>
                <w:bCs/>
                <w:color w:val="000000"/>
                <w:sz w:val="24"/>
                <w:szCs w:val="24"/>
              </w:rPr>
            </w:pPr>
            <w:r>
              <w:rPr>
                <w:rFonts w:ascii="宋体" w:hAnsi="宋体" w:cs="宋体"/>
                <w:spacing w:val="4"/>
                <w:sz w:val="24"/>
                <w:szCs w:val="24"/>
              </w:rPr>
              <w:t>备</w:t>
            </w:r>
            <w:r>
              <w:rPr>
                <w:rFonts w:ascii="宋体" w:hAnsi="宋体" w:cs="宋体"/>
                <w:spacing w:val="3"/>
                <w:sz w:val="24"/>
                <w:szCs w:val="24"/>
              </w:rPr>
              <w:t>注</w:t>
            </w:r>
          </w:p>
        </w:tc>
        <w:tc>
          <w:tcPr>
            <w:tcW w:w="4573" w:type="pct"/>
            <w:gridSpan w:val="2"/>
            <w:vAlign w:val="center"/>
          </w:tcPr>
          <w:p w14:paraId="4142A0D2">
            <w:pPr>
              <w:spacing w:line="360" w:lineRule="auto"/>
              <w:rPr>
                <w:sz w:val="24"/>
                <w:szCs w:val="24"/>
                <w:lang w:val="zh-CN"/>
              </w:rPr>
            </w:pPr>
            <w:r>
              <w:rPr>
                <w:rFonts w:hint="eastAsia" w:ascii="宋体" w:hAnsi="宋体" w:cs="宋体"/>
                <w:sz w:val="24"/>
                <w:szCs w:val="24"/>
              </w:rPr>
              <w:t>以上各项有 1 项不合格，评审不予通过。</w:t>
            </w:r>
          </w:p>
        </w:tc>
      </w:tr>
    </w:tbl>
    <w:p w14:paraId="59D8C3E7">
      <w:pPr>
        <w:ind w:firstLine="480" w:firstLineChars="200"/>
        <w:rPr>
          <w:rFonts w:hint="eastAsia" w:ascii="宋体" w:hAnsi="宋体" w:cs="宋体"/>
          <w:color w:val="000000"/>
          <w:sz w:val="24"/>
          <w:szCs w:val="24"/>
        </w:rPr>
      </w:pPr>
    </w:p>
    <w:p w14:paraId="6BE06096">
      <w:pPr>
        <w:pStyle w:val="3"/>
        <w:rPr>
          <w:rFonts w:hint="eastAsia" w:ascii="宋体" w:hAnsi="宋体" w:cs="宋体"/>
          <w:color w:val="000000"/>
          <w:sz w:val="24"/>
          <w:szCs w:val="24"/>
        </w:rPr>
      </w:pPr>
    </w:p>
    <w:p w14:paraId="19E65B5F">
      <w:pPr>
        <w:rPr>
          <w:rFonts w:hint="eastAsia" w:ascii="宋体" w:hAnsi="宋体" w:cs="宋体"/>
          <w:color w:val="000000"/>
          <w:sz w:val="24"/>
          <w:szCs w:val="24"/>
        </w:rPr>
      </w:pPr>
    </w:p>
    <w:p w14:paraId="354C0F2C">
      <w:pPr>
        <w:pStyle w:val="3"/>
        <w:rPr>
          <w:rFonts w:hint="eastAsia" w:ascii="宋体" w:hAnsi="宋体" w:cs="宋体"/>
          <w:color w:val="000000"/>
          <w:sz w:val="24"/>
          <w:szCs w:val="24"/>
        </w:rPr>
      </w:pPr>
    </w:p>
    <w:p w14:paraId="41EEE5A6">
      <w:pPr>
        <w:rPr>
          <w:rFonts w:hint="eastAsia" w:ascii="宋体" w:hAnsi="宋体" w:cs="宋体"/>
          <w:color w:val="000000"/>
          <w:sz w:val="24"/>
          <w:szCs w:val="24"/>
        </w:rPr>
      </w:pPr>
    </w:p>
    <w:p w14:paraId="04ECE2E8">
      <w:pPr>
        <w:pStyle w:val="3"/>
        <w:rPr>
          <w:rFonts w:hint="eastAsia" w:ascii="宋体" w:hAnsi="宋体" w:cs="宋体"/>
          <w:color w:val="000000"/>
          <w:sz w:val="24"/>
          <w:szCs w:val="24"/>
        </w:rPr>
      </w:pPr>
    </w:p>
    <w:p w14:paraId="0EC98A58"/>
    <w:p w14:paraId="64CCFDF3">
      <w:pPr>
        <w:rPr>
          <w:rFonts w:hint="eastAsia" w:ascii="宋体" w:hAnsi="宋体" w:cs="宋体"/>
          <w:color w:val="000000"/>
          <w:sz w:val="24"/>
          <w:szCs w:val="24"/>
        </w:rPr>
      </w:pPr>
    </w:p>
    <w:p w14:paraId="27374505">
      <w:pPr>
        <w:spacing w:line="360" w:lineRule="auto"/>
        <w:ind w:firstLine="482" w:firstLineChars="200"/>
        <w:rPr>
          <w:rFonts w:hint="eastAsia" w:ascii="宋体" w:hAnsi="宋体" w:cs="宋体"/>
          <w:b/>
          <w:bCs/>
          <w:color w:val="000000"/>
          <w:sz w:val="24"/>
          <w:szCs w:val="24"/>
        </w:rPr>
      </w:pPr>
    </w:p>
    <w:p w14:paraId="0E5FA052">
      <w:pPr>
        <w:spacing w:line="360" w:lineRule="auto"/>
        <w:ind w:firstLine="482" w:firstLineChars="200"/>
        <w:rPr>
          <w:rFonts w:hint="eastAsia" w:ascii="宋体" w:hAnsi="宋体" w:cs="宋体"/>
          <w:b/>
          <w:bCs/>
          <w:color w:val="000000"/>
          <w:sz w:val="24"/>
          <w:szCs w:val="24"/>
        </w:rPr>
      </w:pPr>
    </w:p>
    <w:p w14:paraId="0596128E">
      <w:pPr>
        <w:spacing w:line="360" w:lineRule="auto"/>
        <w:ind w:firstLine="482" w:firstLineChars="200"/>
        <w:rPr>
          <w:rFonts w:hint="eastAsia" w:ascii="宋体" w:hAnsi="宋体" w:cs="宋体"/>
          <w:b/>
          <w:bCs/>
          <w:color w:val="000000"/>
          <w:sz w:val="24"/>
          <w:szCs w:val="24"/>
          <w:lang w:val="zh-CN"/>
        </w:rPr>
      </w:pPr>
      <w:r>
        <w:rPr>
          <w:rFonts w:hint="eastAsia" w:ascii="宋体" w:hAnsi="宋体" w:cs="宋体"/>
          <w:b/>
          <w:bCs/>
          <w:color w:val="000000"/>
          <w:sz w:val="24"/>
          <w:szCs w:val="24"/>
        </w:rPr>
        <w:t>2、符合</w:t>
      </w:r>
      <w:r>
        <w:rPr>
          <w:rFonts w:hint="eastAsia" w:ascii="宋体" w:hAnsi="宋体" w:cs="宋体"/>
          <w:b/>
          <w:bCs/>
          <w:color w:val="000000"/>
          <w:sz w:val="24"/>
          <w:szCs w:val="24"/>
          <w:lang w:val="zh-CN"/>
        </w:rPr>
        <w:t>性审查表</w:t>
      </w:r>
    </w:p>
    <w:p w14:paraId="69527DDE">
      <w:pPr>
        <w:spacing w:line="360" w:lineRule="auto"/>
        <w:ind w:firstLine="480" w:firstLineChars="200"/>
        <w:rPr>
          <w:rFonts w:hint="eastAsia" w:ascii="宋体" w:hAnsi="宋体" w:cs="宋体"/>
          <w:sz w:val="24"/>
          <w:szCs w:val="24"/>
          <w:lang w:val="zh-CN"/>
        </w:rPr>
      </w:pPr>
      <w:r>
        <w:rPr>
          <w:rFonts w:hint="eastAsia" w:ascii="宋体" w:hAnsi="宋体" w:cs="宋体"/>
          <w:sz w:val="24"/>
          <w:szCs w:val="24"/>
          <w:lang w:val="zh-CN"/>
        </w:rPr>
        <w:t>评标委员会依法对符合资格条件的投标人的投标文件进行符合性审查。未通过符合性审查的投标文件，不得进入后续评标环节。</w:t>
      </w:r>
    </w:p>
    <w:p w14:paraId="1CB394E7">
      <w:pPr>
        <w:spacing w:line="360" w:lineRule="auto"/>
        <w:rPr>
          <w:rFonts w:hint="eastAsia" w:ascii="宋体" w:hAnsi="宋体" w:cs="宋体"/>
          <w:sz w:val="24"/>
          <w:szCs w:val="24"/>
          <w:lang w:val="zh-CN"/>
        </w:rPr>
      </w:pPr>
      <w:r>
        <w:rPr>
          <w:rFonts w:hint="eastAsia" w:ascii="宋体" w:hAnsi="宋体" w:cs="宋体"/>
          <w:sz w:val="24"/>
          <w:szCs w:val="24"/>
          <w:lang w:val="zh-CN"/>
        </w:rPr>
        <w:t>评标委员会按下列评审标准进行符合性审查：</w:t>
      </w:r>
    </w:p>
    <w:tbl>
      <w:tblPr>
        <w:tblStyle w:val="21"/>
        <w:tblW w:w="4986"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916"/>
        <w:gridCol w:w="2402"/>
        <w:gridCol w:w="6617"/>
      </w:tblGrid>
      <w:tr w14:paraId="52FFCD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90" w:hRule="atLeast"/>
        </w:trPr>
        <w:tc>
          <w:tcPr>
            <w:tcW w:w="917" w:type="dxa"/>
            <w:vAlign w:val="center"/>
          </w:tcPr>
          <w:p w14:paraId="306420EF">
            <w:pPr>
              <w:autoSpaceDE w:val="0"/>
              <w:autoSpaceDN w:val="0"/>
              <w:adjustRightInd w:val="0"/>
              <w:spacing w:line="360" w:lineRule="auto"/>
              <w:jc w:val="center"/>
              <w:rPr>
                <w:rFonts w:hint="eastAsia" w:ascii="宋体" w:hAnsi="宋体" w:cs="宋体"/>
                <w:bCs/>
                <w:color w:val="000000"/>
                <w:sz w:val="24"/>
                <w:szCs w:val="24"/>
              </w:rPr>
            </w:pPr>
            <w:r>
              <w:rPr>
                <w:rFonts w:hint="eastAsia" w:ascii="宋体" w:hAnsi="宋体" w:cs="宋体"/>
                <w:bCs/>
                <w:color w:val="000000"/>
                <w:sz w:val="24"/>
                <w:szCs w:val="24"/>
              </w:rPr>
              <w:t>序号</w:t>
            </w:r>
          </w:p>
        </w:tc>
        <w:tc>
          <w:tcPr>
            <w:tcW w:w="2402" w:type="dxa"/>
            <w:vAlign w:val="center"/>
          </w:tcPr>
          <w:p w14:paraId="0C504173">
            <w:pPr>
              <w:autoSpaceDE w:val="0"/>
              <w:autoSpaceDN w:val="0"/>
              <w:adjustRightInd w:val="0"/>
              <w:spacing w:line="360" w:lineRule="auto"/>
              <w:jc w:val="center"/>
              <w:rPr>
                <w:rFonts w:hint="eastAsia" w:ascii="宋体" w:hAnsi="宋体" w:cs="宋体"/>
                <w:bCs/>
                <w:color w:val="000000"/>
                <w:sz w:val="24"/>
                <w:szCs w:val="24"/>
                <w:lang w:val="zh-CN"/>
              </w:rPr>
            </w:pPr>
            <w:r>
              <w:rPr>
                <w:rFonts w:hint="eastAsia" w:ascii="宋体" w:hAnsi="宋体" w:cs="宋体"/>
                <w:bCs/>
                <w:color w:val="000000"/>
                <w:sz w:val="24"/>
                <w:szCs w:val="24"/>
                <w:lang w:val="zh-CN"/>
              </w:rPr>
              <w:t>评审因素</w:t>
            </w:r>
          </w:p>
        </w:tc>
        <w:tc>
          <w:tcPr>
            <w:tcW w:w="6618" w:type="dxa"/>
            <w:vAlign w:val="center"/>
          </w:tcPr>
          <w:p w14:paraId="7DEB9D55">
            <w:pPr>
              <w:autoSpaceDE w:val="0"/>
              <w:autoSpaceDN w:val="0"/>
              <w:adjustRightInd w:val="0"/>
              <w:spacing w:line="360" w:lineRule="auto"/>
              <w:jc w:val="center"/>
              <w:rPr>
                <w:rFonts w:hint="eastAsia" w:ascii="宋体" w:hAnsi="宋体" w:cs="宋体"/>
                <w:bCs/>
                <w:color w:val="000000"/>
                <w:sz w:val="24"/>
                <w:szCs w:val="24"/>
                <w:lang w:val="zh-CN"/>
              </w:rPr>
            </w:pPr>
            <w:r>
              <w:rPr>
                <w:rFonts w:hint="eastAsia" w:ascii="宋体" w:hAnsi="宋体" w:cs="宋体"/>
                <w:bCs/>
                <w:color w:val="000000"/>
                <w:sz w:val="24"/>
                <w:szCs w:val="24"/>
                <w:lang w:val="zh-CN"/>
              </w:rPr>
              <w:t>评审标准</w:t>
            </w:r>
          </w:p>
        </w:tc>
      </w:tr>
      <w:tr w14:paraId="4246C0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90" w:hRule="atLeast"/>
        </w:trPr>
        <w:tc>
          <w:tcPr>
            <w:tcW w:w="917" w:type="dxa"/>
            <w:vAlign w:val="center"/>
          </w:tcPr>
          <w:p w14:paraId="3A86F821">
            <w:pPr>
              <w:autoSpaceDE w:val="0"/>
              <w:autoSpaceDN w:val="0"/>
              <w:adjustRightInd w:val="0"/>
              <w:spacing w:line="360" w:lineRule="auto"/>
              <w:jc w:val="center"/>
              <w:rPr>
                <w:rFonts w:hint="eastAsia" w:ascii="宋体" w:hAnsi="宋体" w:cs="宋体"/>
                <w:bCs/>
                <w:sz w:val="24"/>
                <w:szCs w:val="24"/>
              </w:rPr>
            </w:pPr>
            <w:r>
              <w:rPr>
                <w:rFonts w:hint="eastAsia" w:ascii="宋体" w:hAnsi="宋体" w:cs="宋体"/>
                <w:bCs/>
                <w:sz w:val="24"/>
                <w:szCs w:val="24"/>
              </w:rPr>
              <w:t>1</w:t>
            </w:r>
          </w:p>
        </w:tc>
        <w:tc>
          <w:tcPr>
            <w:tcW w:w="2402" w:type="dxa"/>
            <w:vAlign w:val="center"/>
          </w:tcPr>
          <w:p w14:paraId="66E9EED7">
            <w:pPr>
              <w:autoSpaceDE w:val="0"/>
              <w:autoSpaceDN w:val="0"/>
              <w:adjustRightInd w:val="0"/>
              <w:spacing w:line="360" w:lineRule="auto"/>
              <w:rPr>
                <w:rFonts w:hint="eastAsia" w:ascii="宋体" w:hAnsi="宋体" w:cs="宋体"/>
                <w:bCs/>
                <w:color w:val="000000"/>
                <w:sz w:val="24"/>
                <w:szCs w:val="24"/>
                <w:lang w:val="zh-CN"/>
              </w:rPr>
            </w:pPr>
            <w:r>
              <w:rPr>
                <w:rFonts w:hint="eastAsia" w:ascii="宋体" w:hAnsi="宋体" w:cs="宋体"/>
                <w:bCs/>
                <w:color w:val="000000"/>
                <w:sz w:val="24"/>
                <w:szCs w:val="24"/>
                <w:lang w:val="zh-CN"/>
              </w:rPr>
              <w:t>授权委托书</w:t>
            </w:r>
          </w:p>
        </w:tc>
        <w:tc>
          <w:tcPr>
            <w:tcW w:w="6618" w:type="dxa"/>
            <w:vAlign w:val="center"/>
          </w:tcPr>
          <w:p w14:paraId="377C9AAD">
            <w:pPr>
              <w:autoSpaceDE w:val="0"/>
              <w:autoSpaceDN w:val="0"/>
              <w:adjustRightInd w:val="0"/>
              <w:spacing w:line="360" w:lineRule="auto"/>
              <w:rPr>
                <w:rFonts w:hint="eastAsia" w:ascii="宋体" w:hAnsi="宋体" w:cs="宋体"/>
                <w:bCs/>
                <w:color w:val="000000"/>
                <w:sz w:val="24"/>
                <w:szCs w:val="24"/>
                <w:lang w:val="zh-CN"/>
              </w:rPr>
            </w:pPr>
            <w:r>
              <w:rPr>
                <w:rFonts w:hint="eastAsia" w:ascii="宋体" w:hAnsi="宋体" w:cs="宋体"/>
                <w:bCs/>
                <w:color w:val="000000"/>
                <w:sz w:val="24"/>
                <w:szCs w:val="24"/>
                <w:lang w:val="zh-CN"/>
              </w:rPr>
              <w:t>按招标文件要求</w:t>
            </w:r>
            <w:r>
              <w:rPr>
                <w:rFonts w:hint="eastAsia" w:ascii="宋体" w:hAnsi="宋体" w:cs="宋体"/>
                <w:bCs/>
                <w:color w:val="000000"/>
                <w:sz w:val="24"/>
                <w:szCs w:val="24"/>
              </w:rPr>
              <w:t>提</w:t>
            </w:r>
            <w:r>
              <w:rPr>
                <w:rFonts w:hint="eastAsia" w:ascii="宋体" w:hAnsi="宋体" w:cs="宋体"/>
                <w:bCs/>
                <w:color w:val="000000"/>
                <w:sz w:val="24"/>
                <w:szCs w:val="24"/>
                <w:lang w:val="zh-CN"/>
              </w:rPr>
              <w:t>供授权委托书</w:t>
            </w:r>
          </w:p>
        </w:tc>
      </w:tr>
      <w:tr w14:paraId="3BD4DE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90" w:hRule="atLeast"/>
        </w:trPr>
        <w:tc>
          <w:tcPr>
            <w:tcW w:w="917" w:type="dxa"/>
            <w:vAlign w:val="center"/>
          </w:tcPr>
          <w:p w14:paraId="2F4A5C8C">
            <w:pPr>
              <w:autoSpaceDE w:val="0"/>
              <w:autoSpaceDN w:val="0"/>
              <w:adjustRightInd w:val="0"/>
              <w:spacing w:line="360" w:lineRule="auto"/>
              <w:jc w:val="center"/>
              <w:rPr>
                <w:rFonts w:hint="eastAsia" w:ascii="宋体" w:hAnsi="宋体" w:cs="宋体"/>
                <w:bCs/>
                <w:sz w:val="24"/>
                <w:szCs w:val="24"/>
              </w:rPr>
            </w:pPr>
            <w:r>
              <w:rPr>
                <w:rFonts w:hint="eastAsia" w:ascii="宋体" w:hAnsi="宋体" w:cs="宋体"/>
                <w:bCs/>
                <w:sz w:val="24"/>
                <w:szCs w:val="24"/>
              </w:rPr>
              <w:t>2</w:t>
            </w:r>
          </w:p>
        </w:tc>
        <w:tc>
          <w:tcPr>
            <w:tcW w:w="2402" w:type="dxa"/>
            <w:vAlign w:val="center"/>
          </w:tcPr>
          <w:p w14:paraId="52CD4604">
            <w:pPr>
              <w:autoSpaceDE w:val="0"/>
              <w:autoSpaceDN w:val="0"/>
              <w:adjustRightInd w:val="0"/>
              <w:spacing w:line="360" w:lineRule="auto"/>
              <w:rPr>
                <w:rFonts w:hint="eastAsia" w:ascii="宋体" w:hAnsi="宋体" w:cs="宋体"/>
                <w:bCs/>
                <w:color w:val="000000"/>
                <w:sz w:val="24"/>
                <w:szCs w:val="24"/>
                <w:lang w:val="zh-CN"/>
              </w:rPr>
            </w:pPr>
            <w:r>
              <w:rPr>
                <w:rFonts w:hint="eastAsia" w:ascii="宋体" w:hAnsi="宋体" w:cs="宋体"/>
                <w:bCs/>
                <w:color w:val="000000"/>
                <w:sz w:val="24"/>
                <w:szCs w:val="24"/>
                <w:lang w:val="zh-CN"/>
              </w:rPr>
              <w:t>投标</w:t>
            </w:r>
            <w:r>
              <w:rPr>
                <w:rFonts w:hint="eastAsia" w:ascii="宋体" w:hAnsi="宋体" w:cs="宋体"/>
                <w:bCs/>
                <w:color w:val="000000"/>
                <w:sz w:val="24"/>
                <w:szCs w:val="24"/>
              </w:rPr>
              <w:t>文件的</w:t>
            </w:r>
            <w:r>
              <w:rPr>
                <w:rFonts w:hint="eastAsia" w:ascii="宋体" w:hAnsi="宋体" w:cs="宋体"/>
                <w:bCs/>
                <w:color w:val="000000"/>
                <w:sz w:val="24"/>
                <w:szCs w:val="24"/>
                <w:lang w:val="zh-CN"/>
              </w:rPr>
              <w:t>签</w:t>
            </w:r>
            <w:r>
              <w:rPr>
                <w:rFonts w:hint="eastAsia" w:ascii="宋体" w:hAnsi="宋体" w:cs="宋体"/>
                <w:bCs/>
                <w:color w:val="000000"/>
                <w:sz w:val="24"/>
                <w:szCs w:val="24"/>
              </w:rPr>
              <w:t>署</w:t>
            </w:r>
            <w:r>
              <w:rPr>
                <w:rFonts w:hint="eastAsia" w:ascii="宋体" w:hAnsi="宋体" w:cs="宋体"/>
                <w:bCs/>
                <w:color w:val="000000"/>
                <w:sz w:val="24"/>
                <w:szCs w:val="24"/>
                <w:lang w:val="zh-CN"/>
              </w:rPr>
              <w:t>盖章</w:t>
            </w:r>
          </w:p>
        </w:tc>
        <w:tc>
          <w:tcPr>
            <w:tcW w:w="6618" w:type="dxa"/>
            <w:vAlign w:val="center"/>
          </w:tcPr>
          <w:p w14:paraId="2803FB85">
            <w:pPr>
              <w:widowControl/>
              <w:rPr>
                <w:rFonts w:hint="eastAsia" w:ascii="宋体" w:hAnsi="宋体" w:cs="宋体"/>
                <w:bCs/>
                <w:color w:val="000000"/>
                <w:sz w:val="24"/>
                <w:szCs w:val="24"/>
                <w:lang w:val="zh-CN"/>
              </w:rPr>
            </w:pPr>
            <w:r>
              <w:rPr>
                <w:rFonts w:hint="eastAsia" w:ascii="宋体" w:hAnsi="宋体" w:cs="宋体"/>
                <w:color w:val="000000"/>
                <w:kern w:val="0"/>
                <w:sz w:val="24"/>
                <w:szCs w:val="24"/>
                <w:lang w:bidi="ar"/>
              </w:rPr>
              <w:t>按要求签字盖章</w:t>
            </w:r>
          </w:p>
        </w:tc>
      </w:tr>
      <w:tr w14:paraId="6A35D4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90" w:hRule="atLeast"/>
        </w:trPr>
        <w:tc>
          <w:tcPr>
            <w:tcW w:w="917" w:type="dxa"/>
            <w:vAlign w:val="center"/>
          </w:tcPr>
          <w:p w14:paraId="706E957D">
            <w:pPr>
              <w:autoSpaceDE w:val="0"/>
              <w:autoSpaceDN w:val="0"/>
              <w:adjustRightInd w:val="0"/>
              <w:spacing w:line="360" w:lineRule="auto"/>
              <w:jc w:val="center"/>
              <w:rPr>
                <w:rFonts w:hint="eastAsia" w:ascii="宋体" w:hAnsi="宋体" w:cs="宋体"/>
                <w:bCs/>
                <w:sz w:val="24"/>
                <w:szCs w:val="24"/>
              </w:rPr>
            </w:pPr>
            <w:r>
              <w:rPr>
                <w:rFonts w:hint="eastAsia" w:ascii="宋体" w:hAnsi="宋体" w:cs="宋体"/>
                <w:bCs/>
                <w:sz w:val="24"/>
                <w:szCs w:val="24"/>
              </w:rPr>
              <w:t>3</w:t>
            </w:r>
          </w:p>
        </w:tc>
        <w:tc>
          <w:tcPr>
            <w:tcW w:w="2402" w:type="dxa"/>
            <w:vAlign w:val="center"/>
          </w:tcPr>
          <w:p w14:paraId="5D69E108">
            <w:pPr>
              <w:autoSpaceDE w:val="0"/>
              <w:autoSpaceDN w:val="0"/>
              <w:adjustRightInd w:val="0"/>
              <w:spacing w:line="360" w:lineRule="auto"/>
              <w:rPr>
                <w:rFonts w:hint="eastAsia" w:ascii="宋体" w:hAnsi="宋体" w:cs="宋体"/>
                <w:bCs/>
                <w:color w:val="000000"/>
                <w:sz w:val="24"/>
                <w:szCs w:val="24"/>
                <w:lang w:val="zh-CN"/>
              </w:rPr>
            </w:pPr>
            <w:r>
              <w:rPr>
                <w:rFonts w:hint="eastAsia" w:ascii="宋体" w:hAnsi="宋体" w:cs="宋体"/>
                <w:bCs/>
                <w:color w:val="000000"/>
                <w:sz w:val="24"/>
                <w:szCs w:val="24"/>
                <w:lang w:val="zh-CN"/>
              </w:rPr>
              <w:t>投标文件格式</w:t>
            </w:r>
          </w:p>
        </w:tc>
        <w:tc>
          <w:tcPr>
            <w:tcW w:w="6618" w:type="dxa"/>
            <w:vAlign w:val="center"/>
          </w:tcPr>
          <w:p w14:paraId="41EADD3A">
            <w:pPr>
              <w:autoSpaceDE w:val="0"/>
              <w:autoSpaceDN w:val="0"/>
              <w:adjustRightInd w:val="0"/>
              <w:spacing w:line="360" w:lineRule="auto"/>
              <w:rPr>
                <w:rFonts w:hint="eastAsia" w:ascii="宋体" w:hAnsi="宋体" w:cs="宋体"/>
                <w:bCs/>
                <w:color w:val="000000"/>
                <w:sz w:val="24"/>
                <w:szCs w:val="24"/>
                <w:lang w:val="zh-CN"/>
              </w:rPr>
            </w:pPr>
            <w:r>
              <w:rPr>
                <w:rFonts w:hint="eastAsia" w:ascii="宋体" w:hAnsi="宋体" w:cs="宋体"/>
                <w:bCs/>
                <w:color w:val="000000"/>
                <w:sz w:val="24"/>
                <w:szCs w:val="24"/>
                <w:lang w:val="zh-CN"/>
              </w:rPr>
              <w:t>符合第</w:t>
            </w:r>
            <w:r>
              <w:rPr>
                <w:rFonts w:hint="eastAsia" w:ascii="宋体" w:hAnsi="宋体" w:cs="宋体"/>
                <w:bCs/>
                <w:color w:val="000000"/>
                <w:sz w:val="24"/>
                <w:szCs w:val="24"/>
              </w:rPr>
              <w:t>六</w:t>
            </w:r>
            <w:r>
              <w:rPr>
                <w:rFonts w:hint="eastAsia" w:ascii="宋体" w:hAnsi="宋体" w:cs="宋体"/>
                <w:bCs/>
                <w:color w:val="000000"/>
                <w:sz w:val="24"/>
                <w:szCs w:val="24"/>
                <w:lang w:val="zh-CN"/>
              </w:rPr>
              <w:t>章“投标文件构成、要求及格式”</w:t>
            </w:r>
            <w:r>
              <w:rPr>
                <w:rFonts w:hint="eastAsia" w:ascii="宋体" w:hAnsi="宋体" w:cs="宋体"/>
                <w:bCs/>
                <w:color w:val="000000"/>
                <w:sz w:val="24"/>
                <w:szCs w:val="24"/>
              </w:rPr>
              <w:t>和招标文件</w:t>
            </w:r>
            <w:r>
              <w:rPr>
                <w:rFonts w:hint="eastAsia" w:ascii="宋体" w:hAnsi="宋体" w:cs="宋体"/>
                <w:bCs/>
                <w:color w:val="000000"/>
                <w:sz w:val="24"/>
                <w:szCs w:val="24"/>
                <w:lang w:val="zh-CN"/>
              </w:rPr>
              <w:t>的要求</w:t>
            </w:r>
          </w:p>
        </w:tc>
      </w:tr>
      <w:tr w14:paraId="64FA14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90" w:hRule="atLeast"/>
        </w:trPr>
        <w:tc>
          <w:tcPr>
            <w:tcW w:w="917" w:type="dxa"/>
            <w:shd w:val="clear" w:color="auto" w:fill="auto"/>
            <w:vAlign w:val="center"/>
          </w:tcPr>
          <w:p w14:paraId="2E23826A">
            <w:pPr>
              <w:autoSpaceDE w:val="0"/>
              <w:autoSpaceDN w:val="0"/>
              <w:adjustRightInd w:val="0"/>
              <w:spacing w:line="360" w:lineRule="auto"/>
              <w:jc w:val="center"/>
              <w:rPr>
                <w:rFonts w:hint="eastAsia" w:ascii="宋体" w:hAnsi="宋体" w:cs="宋体"/>
                <w:bCs/>
                <w:sz w:val="24"/>
                <w:szCs w:val="24"/>
              </w:rPr>
            </w:pPr>
            <w:r>
              <w:rPr>
                <w:rFonts w:hint="eastAsia" w:ascii="宋体" w:hAnsi="宋体" w:cs="宋体"/>
                <w:bCs/>
                <w:sz w:val="24"/>
                <w:szCs w:val="24"/>
              </w:rPr>
              <w:t>4</w:t>
            </w:r>
          </w:p>
        </w:tc>
        <w:tc>
          <w:tcPr>
            <w:tcW w:w="2402" w:type="dxa"/>
            <w:vAlign w:val="center"/>
          </w:tcPr>
          <w:p w14:paraId="234ED90D">
            <w:pPr>
              <w:autoSpaceDE w:val="0"/>
              <w:autoSpaceDN w:val="0"/>
              <w:adjustRightInd w:val="0"/>
              <w:spacing w:line="360" w:lineRule="auto"/>
              <w:rPr>
                <w:rFonts w:hint="eastAsia" w:ascii="宋体" w:hAnsi="宋体" w:cs="宋体"/>
                <w:bCs/>
                <w:color w:val="000000"/>
                <w:sz w:val="24"/>
                <w:szCs w:val="24"/>
                <w:lang w:val="zh-CN"/>
              </w:rPr>
            </w:pPr>
            <w:r>
              <w:rPr>
                <w:rFonts w:hint="eastAsia" w:ascii="宋体" w:hAnsi="宋体" w:cs="宋体"/>
                <w:bCs/>
                <w:color w:val="000000"/>
                <w:sz w:val="24"/>
                <w:szCs w:val="24"/>
                <w:lang w:val="zh-CN"/>
              </w:rPr>
              <w:t>投标报价</w:t>
            </w:r>
          </w:p>
        </w:tc>
        <w:tc>
          <w:tcPr>
            <w:tcW w:w="6618" w:type="dxa"/>
            <w:vAlign w:val="center"/>
          </w:tcPr>
          <w:p w14:paraId="22E99893">
            <w:pPr>
              <w:widowControl/>
            </w:pPr>
            <w:r>
              <w:rPr>
                <w:rFonts w:hint="eastAsia" w:ascii="宋体" w:hAnsi="宋体" w:cs="宋体"/>
                <w:color w:val="000000"/>
                <w:kern w:val="0"/>
                <w:sz w:val="24"/>
                <w:szCs w:val="24"/>
                <w:lang w:bidi="ar"/>
              </w:rPr>
              <w:t>投标报价未超过招标文件中规定的项目</w:t>
            </w:r>
            <w:r>
              <w:rPr>
                <w:rFonts w:ascii="DejaVuSans" w:hAnsi="DejaVuSans" w:eastAsia="DejaVuSans" w:cs="DejaVuSans"/>
                <w:color w:val="000000"/>
                <w:kern w:val="0"/>
                <w:sz w:val="24"/>
                <w:szCs w:val="24"/>
                <w:lang w:bidi="ar"/>
              </w:rPr>
              <w:t>/</w:t>
            </w:r>
            <w:r>
              <w:rPr>
                <w:rFonts w:hint="eastAsia" w:ascii="宋体" w:hAnsi="宋体" w:cs="宋体"/>
                <w:color w:val="000000"/>
                <w:kern w:val="0"/>
                <w:sz w:val="24"/>
                <w:szCs w:val="24"/>
                <w:lang w:bidi="ar"/>
              </w:rPr>
              <w:t xml:space="preserve">采购包预算金额或者 </w:t>
            </w:r>
          </w:p>
          <w:p w14:paraId="768EF280">
            <w:pPr>
              <w:widowControl/>
              <w:rPr>
                <w:rFonts w:hint="eastAsia" w:ascii="宋体" w:hAnsi="宋体" w:cs="宋体"/>
                <w:bCs/>
                <w:color w:val="000000"/>
                <w:sz w:val="24"/>
                <w:szCs w:val="24"/>
                <w:lang w:val="zh-CN"/>
              </w:rPr>
            </w:pPr>
            <w:r>
              <w:rPr>
                <w:rFonts w:hint="eastAsia" w:ascii="宋体" w:hAnsi="宋体" w:cs="宋体"/>
                <w:color w:val="000000"/>
                <w:kern w:val="0"/>
                <w:sz w:val="24"/>
                <w:szCs w:val="24"/>
                <w:lang w:bidi="ar"/>
              </w:rPr>
              <w:t>项目</w:t>
            </w:r>
            <w:r>
              <w:rPr>
                <w:rFonts w:ascii="DejaVuSans" w:hAnsi="DejaVuSans" w:eastAsia="DejaVuSans" w:cs="DejaVuSans"/>
                <w:color w:val="000000"/>
                <w:kern w:val="0"/>
                <w:sz w:val="24"/>
                <w:szCs w:val="24"/>
                <w:lang w:bidi="ar"/>
              </w:rPr>
              <w:t>/</w:t>
            </w:r>
            <w:r>
              <w:rPr>
                <w:rFonts w:hint="eastAsia" w:ascii="宋体" w:hAnsi="宋体" w:cs="宋体"/>
                <w:color w:val="000000"/>
                <w:kern w:val="0"/>
                <w:sz w:val="24"/>
                <w:szCs w:val="24"/>
                <w:lang w:bidi="ar"/>
              </w:rPr>
              <w:t>采购包最高限价</w:t>
            </w:r>
          </w:p>
        </w:tc>
      </w:tr>
      <w:tr w14:paraId="7F4086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90" w:hRule="atLeast"/>
        </w:trPr>
        <w:tc>
          <w:tcPr>
            <w:tcW w:w="917" w:type="dxa"/>
            <w:shd w:val="clear" w:color="auto" w:fill="auto"/>
            <w:vAlign w:val="center"/>
          </w:tcPr>
          <w:p w14:paraId="68E04B27">
            <w:pPr>
              <w:autoSpaceDE w:val="0"/>
              <w:autoSpaceDN w:val="0"/>
              <w:adjustRightInd w:val="0"/>
              <w:spacing w:line="360" w:lineRule="auto"/>
              <w:jc w:val="center"/>
              <w:rPr>
                <w:rFonts w:hint="eastAsia" w:ascii="宋体" w:hAnsi="宋体" w:cs="宋体"/>
                <w:bCs/>
                <w:sz w:val="24"/>
                <w:szCs w:val="24"/>
              </w:rPr>
            </w:pPr>
            <w:r>
              <w:rPr>
                <w:rFonts w:hint="eastAsia" w:ascii="宋体" w:hAnsi="宋体" w:cs="宋体"/>
                <w:bCs/>
                <w:sz w:val="24"/>
                <w:szCs w:val="24"/>
              </w:rPr>
              <w:t>5</w:t>
            </w:r>
          </w:p>
        </w:tc>
        <w:tc>
          <w:tcPr>
            <w:tcW w:w="2402" w:type="dxa"/>
            <w:vAlign w:val="center"/>
          </w:tcPr>
          <w:p w14:paraId="7FB010D9">
            <w:pPr>
              <w:autoSpaceDE w:val="0"/>
              <w:autoSpaceDN w:val="0"/>
              <w:adjustRightInd w:val="0"/>
              <w:spacing w:line="360" w:lineRule="auto"/>
              <w:rPr>
                <w:rFonts w:hint="eastAsia" w:ascii="宋体" w:hAnsi="宋体" w:cs="宋体"/>
                <w:bCs/>
                <w:color w:val="000000"/>
                <w:sz w:val="24"/>
                <w:szCs w:val="24"/>
                <w:lang w:val="zh-CN"/>
              </w:rPr>
            </w:pPr>
            <w:r>
              <w:rPr>
                <w:rFonts w:hint="eastAsia" w:ascii="宋体" w:hAnsi="宋体" w:cs="宋体"/>
                <w:bCs/>
                <w:color w:val="000000"/>
                <w:sz w:val="24"/>
                <w:szCs w:val="24"/>
                <w:lang w:val="zh-CN"/>
              </w:rPr>
              <w:t>报价唯一</w:t>
            </w:r>
          </w:p>
        </w:tc>
        <w:tc>
          <w:tcPr>
            <w:tcW w:w="6618" w:type="dxa"/>
            <w:vAlign w:val="center"/>
          </w:tcPr>
          <w:p w14:paraId="20835470">
            <w:pPr>
              <w:autoSpaceDE w:val="0"/>
              <w:autoSpaceDN w:val="0"/>
              <w:adjustRightInd w:val="0"/>
              <w:spacing w:line="360" w:lineRule="auto"/>
              <w:rPr>
                <w:rFonts w:hint="eastAsia" w:ascii="宋体" w:hAnsi="宋体" w:cs="宋体"/>
                <w:bCs/>
                <w:color w:val="000000"/>
                <w:sz w:val="24"/>
                <w:szCs w:val="24"/>
                <w:lang w:val="zh-CN"/>
              </w:rPr>
            </w:pPr>
            <w:r>
              <w:rPr>
                <w:rFonts w:hint="eastAsia" w:ascii="宋体" w:hAnsi="宋体" w:cs="宋体"/>
                <w:bCs/>
                <w:color w:val="000000"/>
                <w:sz w:val="24"/>
                <w:szCs w:val="24"/>
                <w:lang w:val="zh-CN"/>
              </w:rPr>
              <w:t xml:space="preserve">投标文件未出现可选择性或可调整的报价（招标文件另有规定 </w:t>
            </w:r>
          </w:p>
          <w:p w14:paraId="694B0D0C">
            <w:pPr>
              <w:autoSpaceDE w:val="0"/>
              <w:autoSpaceDN w:val="0"/>
              <w:adjustRightInd w:val="0"/>
              <w:spacing w:line="360" w:lineRule="auto"/>
              <w:rPr>
                <w:rFonts w:hint="eastAsia" w:ascii="宋体" w:hAnsi="宋体" w:cs="宋体"/>
                <w:bCs/>
                <w:color w:val="000000"/>
                <w:sz w:val="24"/>
                <w:szCs w:val="24"/>
                <w:lang w:val="zh-CN"/>
              </w:rPr>
            </w:pPr>
            <w:r>
              <w:rPr>
                <w:rFonts w:hint="eastAsia" w:ascii="宋体" w:hAnsi="宋体" w:cs="宋体"/>
                <w:bCs/>
                <w:color w:val="000000"/>
                <w:sz w:val="24"/>
                <w:szCs w:val="24"/>
                <w:lang w:val="zh-CN"/>
              </w:rPr>
              <w:t>的除外）</w:t>
            </w:r>
          </w:p>
        </w:tc>
      </w:tr>
      <w:tr w14:paraId="457151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90" w:hRule="atLeast"/>
        </w:trPr>
        <w:tc>
          <w:tcPr>
            <w:tcW w:w="917" w:type="dxa"/>
            <w:shd w:val="clear" w:color="auto" w:fill="auto"/>
            <w:vAlign w:val="center"/>
          </w:tcPr>
          <w:p w14:paraId="697BD50B">
            <w:pPr>
              <w:autoSpaceDE w:val="0"/>
              <w:autoSpaceDN w:val="0"/>
              <w:adjustRightInd w:val="0"/>
              <w:spacing w:line="360" w:lineRule="auto"/>
              <w:jc w:val="center"/>
              <w:rPr>
                <w:rFonts w:hint="eastAsia" w:ascii="宋体" w:hAnsi="宋体" w:cs="宋体"/>
                <w:bCs/>
                <w:sz w:val="24"/>
                <w:szCs w:val="24"/>
              </w:rPr>
            </w:pPr>
            <w:r>
              <w:rPr>
                <w:rFonts w:hint="eastAsia" w:ascii="宋体" w:hAnsi="宋体" w:cs="宋体"/>
                <w:bCs/>
                <w:sz w:val="24"/>
                <w:szCs w:val="24"/>
              </w:rPr>
              <w:t>6</w:t>
            </w:r>
          </w:p>
        </w:tc>
        <w:tc>
          <w:tcPr>
            <w:tcW w:w="2402" w:type="dxa"/>
            <w:shd w:val="clear" w:color="auto" w:fill="auto"/>
            <w:vAlign w:val="center"/>
          </w:tcPr>
          <w:p w14:paraId="4EA8EF5F">
            <w:pPr>
              <w:autoSpaceDE w:val="0"/>
              <w:autoSpaceDN w:val="0"/>
              <w:adjustRightInd w:val="0"/>
              <w:spacing w:line="360" w:lineRule="auto"/>
              <w:rPr>
                <w:rFonts w:hint="eastAsia" w:ascii="宋体" w:hAnsi="宋体" w:cs="宋体"/>
                <w:bCs/>
                <w:color w:val="000000"/>
                <w:sz w:val="24"/>
                <w:szCs w:val="24"/>
                <w:lang w:val="zh-CN"/>
              </w:rPr>
            </w:pPr>
            <w:r>
              <w:rPr>
                <w:rFonts w:hint="eastAsia" w:ascii="宋体" w:hAnsi="宋体" w:cs="宋体"/>
                <w:bCs/>
                <w:color w:val="000000"/>
                <w:sz w:val="24"/>
                <w:szCs w:val="24"/>
                <w:lang w:val="zh-CN"/>
              </w:rPr>
              <w:t>合同履行期限</w:t>
            </w:r>
          </w:p>
        </w:tc>
        <w:tc>
          <w:tcPr>
            <w:tcW w:w="6618" w:type="dxa"/>
            <w:shd w:val="clear" w:color="auto" w:fill="auto"/>
            <w:vAlign w:val="center"/>
          </w:tcPr>
          <w:p w14:paraId="41F3EA53">
            <w:pPr>
              <w:autoSpaceDE w:val="0"/>
              <w:autoSpaceDN w:val="0"/>
              <w:adjustRightInd w:val="0"/>
              <w:spacing w:line="360" w:lineRule="auto"/>
              <w:rPr>
                <w:rFonts w:hint="eastAsia" w:ascii="宋体" w:hAnsi="宋体" w:cs="宋体"/>
                <w:bCs/>
                <w:color w:val="000000"/>
                <w:sz w:val="24"/>
                <w:szCs w:val="24"/>
                <w:lang w:val="zh-CN"/>
              </w:rPr>
            </w:pPr>
            <w:r>
              <w:rPr>
                <w:rFonts w:hint="eastAsia" w:ascii="宋体" w:hAnsi="宋体" w:cs="宋体"/>
                <w:sz w:val="24"/>
                <w:szCs w:val="24"/>
              </w:rPr>
              <w:t>合同订立后45天</w:t>
            </w:r>
          </w:p>
        </w:tc>
      </w:tr>
      <w:tr w14:paraId="2DE67B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90" w:hRule="atLeast"/>
        </w:trPr>
        <w:tc>
          <w:tcPr>
            <w:tcW w:w="917" w:type="dxa"/>
            <w:shd w:val="clear" w:color="auto" w:fill="auto"/>
            <w:vAlign w:val="center"/>
          </w:tcPr>
          <w:p w14:paraId="2757971E">
            <w:pPr>
              <w:autoSpaceDE w:val="0"/>
              <w:autoSpaceDN w:val="0"/>
              <w:adjustRightInd w:val="0"/>
              <w:spacing w:line="360" w:lineRule="auto"/>
              <w:jc w:val="center"/>
              <w:rPr>
                <w:rFonts w:hint="eastAsia" w:ascii="宋体" w:hAnsi="宋体" w:cs="宋体"/>
                <w:bCs/>
                <w:sz w:val="24"/>
                <w:szCs w:val="24"/>
              </w:rPr>
            </w:pPr>
            <w:r>
              <w:rPr>
                <w:rFonts w:hint="eastAsia" w:ascii="宋体" w:hAnsi="宋体" w:cs="宋体"/>
                <w:bCs/>
                <w:sz w:val="24"/>
                <w:szCs w:val="24"/>
              </w:rPr>
              <w:t>7</w:t>
            </w:r>
          </w:p>
        </w:tc>
        <w:tc>
          <w:tcPr>
            <w:tcW w:w="2402" w:type="dxa"/>
            <w:shd w:val="clear" w:color="auto" w:fill="auto"/>
            <w:vAlign w:val="center"/>
          </w:tcPr>
          <w:p w14:paraId="664D2CFE">
            <w:pPr>
              <w:autoSpaceDE w:val="0"/>
              <w:autoSpaceDN w:val="0"/>
              <w:adjustRightInd w:val="0"/>
              <w:spacing w:line="360" w:lineRule="auto"/>
              <w:rPr>
                <w:rFonts w:hint="eastAsia" w:ascii="宋体" w:hAnsi="宋体" w:cs="宋体"/>
                <w:bCs/>
                <w:color w:val="000000"/>
                <w:sz w:val="24"/>
                <w:szCs w:val="24"/>
                <w:lang w:val="zh-CN"/>
              </w:rPr>
            </w:pPr>
            <w:r>
              <w:rPr>
                <w:rFonts w:hint="eastAsia" w:ascii="宋体" w:hAnsi="宋体" w:cs="宋体"/>
                <w:bCs/>
                <w:color w:val="000000"/>
                <w:sz w:val="24"/>
                <w:szCs w:val="24"/>
                <w:lang w:val="zh-CN"/>
              </w:rPr>
              <w:t>投标有效期</w:t>
            </w:r>
          </w:p>
        </w:tc>
        <w:tc>
          <w:tcPr>
            <w:tcW w:w="6618" w:type="dxa"/>
            <w:shd w:val="clear" w:color="auto" w:fill="auto"/>
            <w:vAlign w:val="center"/>
          </w:tcPr>
          <w:p w14:paraId="39C3F6F9">
            <w:pPr>
              <w:autoSpaceDE w:val="0"/>
              <w:autoSpaceDN w:val="0"/>
              <w:adjustRightInd w:val="0"/>
              <w:spacing w:line="360" w:lineRule="auto"/>
              <w:rPr>
                <w:rFonts w:hint="eastAsia" w:ascii="宋体" w:hAnsi="宋体" w:cs="宋体"/>
                <w:bCs/>
                <w:color w:val="000000"/>
                <w:sz w:val="24"/>
                <w:szCs w:val="24"/>
                <w:lang w:val="zh-CN"/>
              </w:rPr>
            </w:pPr>
            <w:r>
              <w:rPr>
                <w:rFonts w:hint="eastAsia" w:ascii="宋体" w:hAnsi="宋体" w:cs="宋体"/>
                <w:bCs/>
                <w:color w:val="000000"/>
                <w:sz w:val="24"/>
                <w:szCs w:val="24"/>
                <w:lang w:val="zh-CN"/>
              </w:rPr>
              <w:t>投标文件中承诺的投标有效期满足招标文件中载明的投标有效期的</w:t>
            </w:r>
          </w:p>
        </w:tc>
      </w:tr>
      <w:tr w14:paraId="1B4EF7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74" w:hRule="atLeast"/>
        </w:trPr>
        <w:tc>
          <w:tcPr>
            <w:tcW w:w="917" w:type="dxa"/>
            <w:shd w:val="clear" w:color="auto" w:fill="auto"/>
            <w:vAlign w:val="center"/>
          </w:tcPr>
          <w:p w14:paraId="7E0DB40A">
            <w:pPr>
              <w:autoSpaceDE w:val="0"/>
              <w:autoSpaceDN w:val="0"/>
              <w:adjustRightInd w:val="0"/>
              <w:spacing w:line="360" w:lineRule="auto"/>
              <w:jc w:val="center"/>
              <w:rPr>
                <w:rFonts w:hint="eastAsia" w:ascii="宋体" w:hAnsi="宋体" w:cs="宋体"/>
                <w:bCs/>
                <w:sz w:val="24"/>
                <w:szCs w:val="24"/>
              </w:rPr>
            </w:pPr>
            <w:r>
              <w:rPr>
                <w:rFonts w:hint="eastAsia" w:ascii="宋体" w:hAnsi="宋体" w:cs="宋体"/>
                <w:bCs/>
                <w:sz w:val="24"/>
                <w:szCs w:val="24"/>
              </w:rPr>
              <w:t>8</w:t>
            </w:r>
          </w:p>
        </w:tc>
        <w:tc>
          <w:tcPr>
            <w:tcW w:w="2402" w:type="dxa"/>
            <w:shd w:val="clear" w:color="auto" w:fill="auto"/>
            <w:vAlign w:val="center"/>
          </w:tcPr>
          <w:p w14:paraId="6EC0DFC9">
            <w:pPr>
              <w:autoSpaceDE w:val="0"/>
              <w:autoSpaceDN w:val="0"/>
              <w:adjustRightInd w:val="0"/>
              <w:spacing w:line="360" w:lineRule="auto"/>
              <w:rPr>
                <w:rFonts w:hint="eastAsia" w:ascii="宋体" w:hAnsi="宋体" w:cs="宋体"/>
                <w:bCs/>
                <w:color w:val="000000"/>
                <w:sz w:val="24"/>
                <w:szCs w:val="24"/>
                <w:lang w:val="zh-CN"/>
              </w:rPr>
            </w:pPr>
            <w:r>
              <w:rPr>
                <w:rFonts w:hint="eastAsia" w:ascii="宋体" w:hAnsi="宋体" w:cs="宋体"/>
                <w:bCs/>
                <w:color w:val="000000"/>
                <w:sz w:val="24"/>
                <w:szCs w:val="24"/>
                <w:lang w:val="zh-CN"/>
              </w:rPr>
              <w:t>投标保证金</w:t>
            </w:r>
          </w:p>
        </w:tc>
        <w:tc>
          <w:tcPr>
            <w:tcW w:w="6618" w:type="dxa"/>
            <w:shd w:val="clear" w:color="auto" w:fill="auto"/>
            <w:vAlign w:val="center"/>
          </w:tcPr>
          <w:p w14:paraId="78562178">
            <w:pPr>
              <w:autoSpaceDE w:val="0"/>
              <w:autoSpaceDN w:val="0"/>
              <w:adjustRightInd w:val="0"/>
              <w:spacing w:line="360" w:lineRule="auto"/>
              <w:rPr>
                <w:rFonts w:hint="eastAsia" w:ascii="宋体" w:hAnsi="宋体" w:cs="宋体"/>
                <w:bCs/>
                <w:color w:val="000000"/>
                <w:sz w:val="24"/>
                <w:szCs w:val="24"/>
                <w:lang w:val="zh-CN"/>
              </w:rPr>
            </w:pPr>
            <w:r>
              <w:rPr>
                <w:rFonts w:hint="eastAsia" w:ascii="宋体" w:hAnsi="宋体" w:cs="宋体"/>
                <w:bCs/>
                <w:color w:val="000000"/>
                <w:sz w:val="24"/>
                <w:szCs w:val="24"/>
                <w:lang w:val="zh-CN"/>
              </w:rPr>
              <w:t>满足招标文件要求</w:t>
            </w:r>
          </w:p>
        </w:tc>
      </w:tr>
      <w:tr w14:paraId="77E80A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90" w:hRule="atLeast"/>
        </w:trPr>
        <w:tc>
          <w:tcPr>
            <w:tcW w:w="917" w:type="dxa"/>
            <w:shd w:val="clear" w:color="auto" w:fill="auto"/>
            <w:vAlign w:val="center"/>
          </w:tcPr>
          <w:p w14:paraId="3F833DAB">
            <w:pPr>
              <w:autoSpaceDE w:val="0"/>
              <w:autoSpaceDN w:val="0"/>
              <w:adjustRightInd w:val="0"/>
              <w:spacing w:line="360" w:lineRule="auto"/>
              <w:jc w:val="center"/>
              <w:rPr>
                <w:rFonts w:hint="eastAsia" w:ascii="宋体" w:hAnsi="宋体" w:cs="宋体"/>
                <w:bCs/>
                <w:sz w:val="24"/>
                <w:szCs w:val="24"/>
              </w:rPr>
            </w:pPr>
            <w:r>
              <w:rPr>
                <w:rFonts w:hint="eastAsia" w:ascii="宋体" w:hAnsi="宋体" w:cs="宋体"/>
                <w:bCs/>
                <w:sz w:val="24"/>
                <w:szCs w:val="24"/>
              </w:rPr>
              <w:t>9</w:t>
            </w:r>
          </w:p>
        </w:tc>
        <w:tc>
          <w:tcPr>
            <w:tcW w:w="2402" w:type="dxa"/>
            <w:shd w:val="clear" w:color="auto" w:fill="auto"/>
            <w:vAlign w:val="center"/>
          </w:tcPr>
          <w:p w14:paraId="28E19673">
            <w:pPr>
              <w:autoSpaceDE w:val="0"/>
              <w:autoSpaceDN w:val="0"/>
              <w:adjustRightInd w:val="0"/>
              <w:spacing w:line="360" w:lineRule="auto"/>
              <w:rPr>
                <w:rFonts w:hint="eastAsia" w:ascii="宋体" w:hAnsi="宋体" w:cs="宋体"/>
                <w:bCs/>
                <w:color w:val="000000"/>
                <w:sz w:val="24"/>
                <w:szCs w:val="24"/>
              </w:rPr>
            </w:pPr>
            <w:r>
              <w:rPr>
                <w:rFonts w:hint="eastAsia" w:ascii="宋体" w:hAnsi="宋体" w:cs="宋体"/>
                <w:bCs/>
                <w:color w:val="000000"/>
                <w:sz w:val="24"/>
                <w:szCs w:val="24"/>
              </w:rPr>
              <w:t>采购需求</w:t>
            </w:r>
          </w:p>
        </w:tc>
        <w:tc>
          <w:tcPr>
            <w:tcW w:w="6618" w:type="dxa"/>
            <w:shd w:val="clear" w:color="auto" w:fill="auto"/>
            <w:vAlign w:val="center"/>
          </w:tcPr>
          <w:p w14:paraId="71557EA2">
            <w:pPr>
              <w:autoSpaceDE w:val="0"/>
              <w:autoSpaceDN w:val="0"/>
              <w:adjustRightInd w:val="0"/>
              <w:spacing w:line="360" w:lineRule="auto"/>
              <w:rPr>
                <w:rFonts w:hint="eastAsia" w:ascii="宋体" w:hAnsi="宋体" w:cs="宋体"/>
                <w:bCs/>
                <w:color w:val="000000"/>
                <w:sz w:val="24"/>
                <w:szCs w:val="24"/>
                <w:lang w:val="zh-CN"/>
              </w:rPr>
            </w:pPr>
            <w:r>
              <w:rPr>
                <w:rFonts w:hint="eastAsia" w:ascii="宋体" w:hAnsi="宋体" w:cs="宋体"/>
                <w:bCs/>
                <w:color w:val="000000"/>
                <w:sz w:val="24"/>
                <w:szCs w:val="24"/>
                <w:lang w:val="zh-CN"/>
              </w:rPr>
              <w:t>符合招标文件“采购需求”规定</w:t>
            </w:r>
          </w:p>
        </w:tc>
      </w:tr>
      <w:tr w14:paraId="5010A6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90" w:hRule="atLeast"/>
        </w:trPr>
        <w:tc>
          <w:tcPr>
            <w:tcW w:w="917" w:type="dxa"/>
            <w:vAlign w:val="center"/>
          </w:tcPr>
          <w:p w14:paraId="1BDF48B2">
            <w:pPr>
              <w:autoSpaceDE w:val="0"/>
              <w:autoSpaceDN w:val="0"/>
              <w:adjustRightInd w:val="0"/>
              <w:spacing w:line="360" w:lineRule="auto"/>
              <w:jc w:val="center"/>
              <w:rPr>
                <w:rFonts w:hint="eastAsia" w:ascii="宋体" w:hAnsi="宋体" w:cs="宋体"/>
                <w:bCs/>
                <w:sz w:val="24"/>
                <w:szCs w:val="24"/>
              </w:rPr>
            </w:pPr>
            <w:r>
              <w:rPr>
                <w:rFonts w:hint="eastAsia" w:ascii="宋体" w:hAnsi="宋体" w:cs="宋体"/>
                <w:bCs/>
                <w:sz w:val="24"/>
                <w:szCs w:val="24"/>
              </w:rPr>
              <w:t>10</w:t>
            </w:r>
          </w:p>
        </w:tc>
        <w:tc>
          <w:tcPr>
            <w:tcW w:w="2402" w:type="dxa"/>
            <w:shd w:val="clear" w:color="auto" w:fill="auto"/>
            <w:vAlign w:val="center"/>
          </w:tcPr>
          <w:p w14:paraId="5FF494BA">
            <w:pPr>
              <w:widowControl/>
              <w:rPr>
                <w:rFonts w:hint="eastAsia" w:ascii="宋体" w:hAnsi="宋体" w:cs="宋体"/>
                <w:bCs/>
                <w:color w:val="000000"/>
                <w:sz w:val="24"/>
                <w:szCs w:val="24"/>
                <w:lang w:val="zh-CN"/>
              </w:rPr>
            </w:pPr>
            <w:r>
              <w:rPr>
                <w:rFonts w:hint="eastAsia" w:ascii="宋体" w:hAnsi="宋体" w:cs="宋体"/>
                <w:color w:val="000000"/>
                <w:kern w:val="0"/>
                <w:sz w:val="24"/>
                <w:szCs w:val="24"/>
                <w:lang w:bidi="ar"/>
              </w:rPr>
              <w:t>其他无效情形</w:t>
            </w:r>
          </w:p>
        </w:tc>
        <w:tc>
          <w:tcPr>
            <w:tcW w:w="6618" w:type="dxa"/>
            <w:shd w:val="clear" w:color="auto" w:fill="auto"/>
            <w:vAlign w:val="center"/>
          </w:tcPr>
          <w:p w14:paraId="44FA8906">
            <w:pPr>
              <w:widowControl/>
            </w:pPr>
            <w:r>
              <w:rPr>
                <w:rFonts w:hint="eastAsia" w:ascii="宋体" w:hAnsi="宋体" w:cs="宋体"/>
                <w:color w:val="000000"/>
                <w:kern w:val="0"/>
                <w:sz w:val="24"/>
                <w:szCs w:val="24"/>
                <w:lang w:bidi="ar"/>
              </w:rPr>
              <w:t xml:space="preserve">投标人、投标文件不存在不符合法律、法规和招标文件规定的 </w:t>
            </w:r>
          </w:p>
          <w:p w14:paraId="5A6782C5">
            <w:pPr>
              <w:widowControl/>
              <w:rPr>
                <w:rFonts w:hint="eastAsia" w:ascii="宋体" w:hAnsi="宋体" w:cs="宋体"/>
                <w:bCs/>
                <w:color w:val="000000"/>
                <w:sz w:val="24"/>
                <w:szCs w:val="24"/>
                <w:lang w:val="zh-CN"/>
              </w:rPr>
            </w:pPr>
            <w:r>
              <w:rPr>
                <w:rFonts w:hint="eastAsia" w:ascii="宋体" w:hAnsi="宋体" w:cs="宋体"/>
                <w:color w:val="000000"/>
                <w:kern w:val="0"/>
                <w:sz w:val="24"/>
                <w:szCs w:val="24"/>
                <w:lang w:bidi="ar"/>
              </w:rPr>
              <w:t>其他无效情形。</w:t>
            </w:r>
          </w:p>
        </w:tc>
      </w:tr>
      <w:tr w14:paraId="69A3AD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90" w:hRule="atLeast"/>
        </w:trPr>
        <w:tc>
          <w:tcPr>
            <w:tcW w:w="917" w:type="dxa"/>
          </w:tcPr>
          <w:p w14:paraId="29CB4615">
            <w:pPr>
              <w:spacing w:before="65" w:line="360" w:lineRule="auto"/>
              <w:ind w:left="137"/>
              <w:rPr>
                <w:rFonts w:hint="eastAsia" w:ascii="宋体" w:hAnsi="宋体" w:cs="宋体"/>
                <w:bCs/>
                <w:color w:val="000000"/>
                <w:sz w:val="24"/>
                <w:szCs w:val="24"/>
                <w:lang w:val="zh-CN"/>
              </w:rPr>
            </w:pPr>
            <w:r>
              <w:rPr>
                <w:rFonts w:hint="eastAsia" w:ascii="宋体" w:hAnsi="宋体" w:cs="宋体"/>
                <w:spacing w:val="4"/>
                <w:sz w:val="24"/>
                <w:szCs w:val="24"/>
              </w:rPr>
              <w:t>备</w:t>
            </w:r>
            <w:r>
              <w:rPr>
                <w:rFonts w:hint="eastAsia" w:ascii="宋体" w:hAnsi="宋体" w:cs="宋体"/>
                <w:spacing w:val="3"/>
                <w:sz w:val="24"/>
                <w:szCs w:val="24"/>
              </w:rPr>
              <w:t>注</w:t>
            </w:r>
          </w:p>
        </w:tc>
        <w:tc>
          <w:tcPr>
            <w:tcW w:w="9020" w:type="dxa"/>
            <w:gridSpan w:val="2"/>
          </w:tcPr>
          <w:p w14:paraId="764C569D">
            <w:pPr>
              <w:spacing w:line="360" w:lineRule="auto"/>
              <w:rPr>
                <w:rFonts w:hint="eastAsia" w:ascii="宋体" w:hAnsi="宋体" w:cs="宋体"/>
                <w:sz w:val="24"/>
                <w:szCs w:val="24"/>
                <w:lang w:val="zh-CN"/>
              </w:rPr>
            </w:pPr>
            <w:r>
              <w:rPr>
                <w:rFonts w:hint="eastAsia" w:ascii="宋体" w:hAnsi="宋体" w:cs="宋体"/>
                <w:sz w:val="24"/>
                <w:szCs w:val="24"/>
              </w:rPr>
              <w:t>以上各项有 1 项不合格，评审不予通过，作为未实质性响应招标文件。</w:t>
            </w:r>
          </w:p>
        </w:tc>
      </w:tr>
    </w:tbl>
    <w:p w14:paraId="474BEF84">
      <w:pPr>
        <w:pStyle w:val="3"/>
        <w:spacing w:line="240" w:lineRule="auto"/>
        <w:rPr>
          <w:rFonts w:hint="eastAsia" w:ascii="宋体" w:hAnsi="宋体" w:eastAsia="宋体" w:cs="宋体"/>
          <w:b w:val="0"/>
          <w:bCs w:val="0"/>
          <w:sz w:val="24"/>
          <w:szCs w:val="24"/>
        </w:rPr>
      </w:pPr>
    </w:p>
    <w:p w14:paraId="473070F8">
      <w:pPr>
        <w:rPr>
          <w:rFonts w:hint="eastAsia" w:ascii="宋体" w:hAnsi="宋体" w:cs="宋体"/>
          <w:sz w:val="24"/>
          <w:szCs w:val="24"/>
        </w:rPr>
      </w:pPr>
    </w:p>
    <w:p w14:paraId="286AC804">
      <w:pPr>
        <w:pStyle w:val="3"/>
        <w:rPr>
          <w:rFonts w:hint="eastAsia" w:ascii="宋体" w:hAnsi="宋体" w:eastAsia="宋体" w:cs="宋体"/>
          <w:b w:val="0"/>
          <w:bCs w:val="0"/>
          <w:sz w:val="24"/>
          <w:szCs w:val="24"/>
        </w:rPr>
      </w:pPr>
    </w:p>
    <w:p w14:paraId="238806D7">
      <w:pPr>
        <w:rPr>
          <w:rFonts w:hint="eastAsia" w:ascii="宋体" w:hAnsi="宋体" w:cs="宋体"/>
          <w:sz w:val="24"/>
          <w:szCs w:val="24"/>
        </w:rPr>
      </w:pPr>
    </w:p>
    <w:p w14:paraId="347B213A">
      <w:pPr>
        <w:pStyle w:val="3"/>
        <w:rPr>
          <w:rFonts w:hint="eastAsia" w:ascii="宋体" w:hAnsi="宋体" w:eastAsia="宋体" w:cs="宋体"/>
          <w:b w:val="0"/>
          <w:bCs w:val="0"/>
          <w:sz w:val="24"/>
          <w:szCs w:val="24"/>
        </w:rPr>
      </w:pPr>
    </w:p>
    <w:p w14:paraId="72B66D9B">
      <w:pPr>
        <w:rPr>
          <w:rFonts w:hint="eastAsia" w:ascii="宋体" w:hAnsi="宋体" w:cs="宋体"/>
          <w:sz w:val="24"/>
          <w:szCs w:val="24"/>
        </w:rPr>
      </w:pPr>
    </w:p>
    <w:p w14:paraId="5B97D4B5">
      <w:pPr>
        <w:rPr>
          <w:rFonts w:hint="eastAsia" w:ascii="宋体" w:hAnsi="宋体" w:cs="宋体"/>
          <w:sz w:val="24"/>
          <w:szCs w:val="24"/>
        </w:rPr>
      </w:pPr>
    </w:p>
    <w:p w14:paraId="6AC81844">
      <w:pPr>
        <w:pStyle w:val="3"/>
        <w:spacing w:line="240" w:lineRule="auto"/>
        <w:rPr>
          <w:rFonts w:hint="eastAsia" w:ascii="宋体" w:hAnsi="宋体" w:eastAsia="宋体" w:cs="宋体"/>
          <w:sz w:val="24"/>
          <w:szCs w:val="24"/>
        </w:rPr>
      </w:pPr>
      <w:r>
        <w:rPr>
          <w:rFonts w:hint="eastAsia" w:ascii="宋体" w:hAnsi="宋体" w:eastAsia="宋体" w:cs="宋体"/>
          <w:sz w:val="24"/>
          <w:szCs w:val="24"/>
        </w:rPr>
        <w:t>3.综合评分明细表 (满分 100 分)</w:t>
      </w:r>
    </w:p>
    <w:tbl>
      <w:tblPr>
        <w:tblStyle w:val="21"/>
        <w:tblW w:w="4973" w:type="pct"/>
        <w:tblInd w:w="0" w:type="dxa"/>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autofit"/>
        <w:tblCellMar>
          <w:top w:w="0" w:type="dxa"/>
          <w:left w:w="108" w:type="dxa"/>
          <w:bottom w:w="0" w:type="dxa"/>
          <w:right w:w="108" w:type="dxa"/>
        </w:tblCellMar>
      </w:tblPr>
      <w:tblGrid>
        <w:gridCol w:w="503"/>
        <w:gridCol w:w="735"/>
        <w:gridCol w:w="6544"/>
        <w:gridCol w:w="1040"/>
        <w:gridCol w:w="1087"/>
      </w:tblGrid>
      <w:tr w14:paraId="2D7B31D1">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254" w:type="pct"/>
            <w:tcBorders>
              <w:top w:val="single" w:color="auto" w:sz="8" w:space="0"/>
              <w:left w:val="single" w:color="auto" w:sz="8" w:space="0"/>
              <w:bottom w:val="single" w:color="auto" w:sz="4" w:space="0"/>
              <w:right w:val="single" w:color="auto" w:sz="4" w:space="0"/>
            </w:tcBorders>
            <w:vAlign w:val="center"/>
          </w:tcPr>
          <w:p w14:paraId="1957D3DA">
            <w:pPr>
              <w:autoSpaceDE w:val="0"/>
              <w:autoSpaceDN w:val="0"/>
              <w:adjustRightInd w:val="0"/>
              <w:jc w:val="center"/>
              <w:rPr>
                <w:rFonts w:hint="eastAsia" w:ascii="宋体" w:hAnsi="宋体" w:cs="宋体"/>
                <w:sz w:val="24"/>
                <w:szCs w:val="24"/>
                <w:lang w:val="zh-CN"/>
              </w:rPr>
            </w:pPr>
            <w:r>
              <w:rPr>
                <w:rFonts w:hint="eastAsia" w:ascii="宋体" w:hAnsi="宋体" w:cs="宋体"/>
                <w:sz w:val="24"/>
                <w:szCs w:val="24"/>
                <w:lang w:val="zh-CN"/>
              </w:rPr>
              <w:t>序号</w:t>
            </w:r>
          </w:p>
        </w:tc>
        <w:tc>
          <w:tcPr>
            <w:tcW w:w="371" w:type="pct"/>
            <w:tcBorders>
              <w:top w:val="single" w:color="auto" w:sz="8" w:space="0"/>
              <w:left w:val="single" w:color="auto" w:sz="4" w:space="0"/>
              <w:bottom w:val="single" w:color="auto" w:sz="4" w:space="0"/>
              <w:right w:val="single" w:color="auto" w:sz="4" w:space="0"/>
            </w:tcBorders>
            <w:vAlign w:val="center"/>
          </w:tcPr>
          <w:p w14:paraId="59672271">
            <w:pPr>
              <w:autoSpaceDE w:val="0"/>
              <w:autoSpaceDN w:val="0"/>
              <w:adjustRightInd w:val="0"/>
              <w:jc w:val="center"/>
              <w:rPr>
                <w:rFonts w:hint="eastAsia" w:ascii="宋体" w:hAnsi="宋体" w:cs="宋体"/>
                <w:sz w:val="24"/>
                <w:szCs w:val="24"/>
                <w:lang w:val="zh-CN"/>
              </w:rPr>
            </w:pPr>
            <w:r>
              <w:rPr>
                <w:rFonts w:hint="eastAsia" w:ascii="宋体" w:hAnsi="宋体" w:cs="宋体"/>
                <w:sz w:val="24"/>
                <w:szCs w:val="24"/>
              </w:rPr>
              <w:t>类型</w:t>
            </w:r>
          </w:p>
        </w:tc>
        <w:tc>
          <w:tcPr>
            <w:tcW w:w="3302" w:type="pct"/>
            <w:tcBorders>
              <w:top w:val="single" w:color="auto" w:sz="8" w:space="0"/>
              <w:left w:val="single" w:color="auto" w:sz="4" w:space="0"/>
              <w:bottom w:val="single" w:color="auto" w:sz="4" w:space="0"/>
              <w:right w:val="single" w:color="auto" w:sz="4" w:space="0"/>
            </w:tcBorders>
            <w:vAlign w:val="center"/>
          </w:tcPr>
          <w:p w14:paraId="64A1377E">
            <w:pPr>
              <w:autoSpaceDE w:val="0"/>
              <w:autoSpaceDN w:val="0"/>
              <w:adjustRightInd w:val="0"/>
              <w:jc w:val="center"/>
              <w:rPr>
                <w:rFonts w:hint="eastAsia" w:ascii="宋体" w:hAnsi="宋体" w:cs="宋体"/>
                <w:sz w:val="24"/>
                <w:szCs w:val="24"/>
                <w:lang w:val="zh-CN"/>
              </w:rPr>
            </w:pPr>
            <w:r>
              <w:rPr>
                <w:rFonts w:hint="eastAsia" w:ascii="宋体" w:hAnsi="宋体" w:cs="宋体"/>
                <w:sz w:val="24"/>
                <w:szCs w:val="24"/>
                <w:lang w:val="zh-CN"/>
              </w:rPr>
              <w:t>评分标准</w:t>
            </w:r>
          </w:p>
        </w:tc>
        <w:tc>
          <w:tcPr>
            <w:tcW w:w="525" w:type="pct"/>
            <w:tcBorders>
              <w:top w:val="single" w:color="auto" w:sz="8" w:space="0"/>
              <w:left w:val="single" w:color="auto" w:sz="4" w:space="0"/>
              <w:bottom w:val="single" w:color="auto" w:sz="4" w:space="0"/>
              <w:right w:val="single" w:color="auto" w:sz="4" w:space="0"/>
            </w:tcBorders>
            <w:vAlign w:val="center"/>
          </w:tcPr>
          <w:p w14:paraId="17DAD2F0">
            <w:pPr>
              <w:autoSpaceDE w:val="0"/>
              <w:autoSpaceDN w:val="0"/>
              <w:adjustRightInd w:val="0"/>
              <w:jc w:val="center"/>
              <w:rPr>
                <w:rFonts w:hint="eastAsia" w:ascii="宋体" w:hAnsi="宋体" w:cs="宋体"/>
                <w:sz w:val="24"/>
                <w:szCs w:val="24"/>
                <w:lang w:val="zh-CN"/>
              </w:rPr>
            </w:pPr>
            <w:r>
              <w:rPr>
                <w:rFonts w:hint="eastAsia" w:ascii="宋体" w:hAnsi="宋体" w:cs="宋体"/>
                <w:sz w:val="24"/>
                <w:szCs w:val="24"/>
                <w:lang w:val="zh-CN"/>
              </w:rPr>
              <w:t>分值权重</w:t>
            </w:r>
          </w:p>
        </w:tc>
        <w:tc>
          <w:tcPr>
            <w:tcW w:w="548" w:type="pct"/>
            <w:tcBorders>
              <w:top w:val="single" w:color="auto" w:sz="8" w:space="0"/>
              <w:left w:val="single" w:color="auto" w:sz="4" w:space="0"/>
              <w:bottom w:val="single" w:color="auto" w:sz="4" w:space="0"/>
              <w:right w:val="single" w:color="auto" w:sz="8" w:space="0"/>
            </w:tcBorders>
            <w:vAlign w:val="center"/>
          </w:tcPr>
          <w:p w14:paraId="40DB05D2">
            <w:pPr>
              <w:autoSpaceDE w:val="0"/>
              <w:autoSpaceDN w:val="0"/>
              <w:adjustRightInd w:val="0"/>
              <w:jc w:val="center"/>
              <w:rPr>
                <w:rFonts w:hint="eastAsia" w:ascii="宋体" w:hAnsi="宋体" w:cs="宋体"/>
                <w:sz w:val="24"/>
                <w:szCs w:val="24"/>
                <w:lang w:val="zh-CN"/>
              </w:rPr>
            </w:pPr>
            <w:r>
              <w:rPr>
                <w:rFonts w:hint="eastAsia" w:ascii="宋体" w:hAnsi="宋体" w:cs="宋体"/>
                <w:sz w:val="24"/>
                <w:szCs w:val="24"/>
                <w:lang w:val="zh-CN"/>
              </w:rPr>
              <w:t>打分方法</w:t>
            </w:r>
          </w:p>
        </w:tc>
      </w:tr>
      <w:tr w14:paraId="716F44AF">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254" w:type="pct"/>
            <w:tcBorders>
              <w:top w:val="single" w:color="auto" w:sz="4" w:space="0"/>
              <w:left w:val="single" w:color="auto" w:sz="8" w:space="0"/>
              <w:bottom w:val="single" w:color="auto" w:sz="4" w:space="0"/>
              <w:right w:val="single" w:color="auto" w:sz="4" w:space="0"/>
            </w:tcBorders>
            <w:vAlign w:val="center"/>
          </w:tcPr>
          <w:p w14:paraId="6A32E14F">
            <w:pPr>
              <w:jc w:val="center"/>
              <w:rPr>
                <w:rFonts w:hint="eastAsia" w:ascii="宋体" w:hAnsi="宋体" w:cs="宋体"/>
                <w:sz w:val="24"/>
                <w:szCs w:val="24"/>
              </w:rPr>
            </w:pPr>
            <w:r>
              <w:rPr>
                <w:rFonts w:hint="eastAsia" w:ascii="宋体" w:hAnsi="宋体" w:cs="宋体"/>
                <w:sz w:val="24"/>
                <w:szCs w:val="24"/>
              </w:rPr>
              <w:t>1</w:t>
            </w:r>
          </w:p>
        </w:tc>
        <w:tc>
          <w:tcPr>
            <w:tcW w:w="371" w:type="pct"/>
            <w:tcBorders>
              <w:top w:val="single" w:color="auto" w:sz="4" w:space="0"/>
              <w:left w:val="single" w:color="auto" w:sz="4" w:space="0"/>
              <w:bottom w:val="single" w:color="auto" w:sz="4" w:space="0"/>
              <w:right w:val="single" w:color="auto" w:sz="4" w:space="0"/>
            </w:tcBorders>
            <w:vAlign w:val="center"/>
          </w:tcPr>
          <w:p w14:paraId="3CFA915B">
            <w:pPr>
              <w:jc w:val="center"/>
              <w:rPr>
                <w:rFonts w:hint="eastAsia" w:ascii="宋体" w:hAnsi="宋体" w:cs="宋体"/>
                <w:sz w:val="24"/>
                <w:szCs w:val="24"/>
              </w:rPr>
            </w:pPr>
            <w:r>
              <w:rPr>
                <w:rFonts w:hint="eastAsia" w:ascii="宋体" w:hAnsi="宋体" w:cs="宋体"/>
                <w:sz w:val="24"/>
                <w:szCs w:val="24"/>
              </w:rPr>
              <w:t>报价</w:t>
            </w:r>
          </w:p>
        </w:tc>
        <w:tc>
          <w:tcPr>
            <w:tcW w:w="3302" w:type="pct"/>
            <w:tcBorders>
              <w:top w:val="single" w:color="auto" w:sz="4" w:space="0"/>
              <w:left w:val="single" w:color="auto" w:sz="4" w:space="0"/>
              <w:bottom w:val="single" w:color="auto" w:sz="4" w:space="0"/>
              <w:right w:val="single" w:color="auto" w:sz="4" w:space="0"/>
            </w:tcBorders>
          </w:tcPr>
          <w:p w14:paraId="73A71AFC">
            <w:pPr>
              <w:jc w:val="left"/>
              <w:rPr>
                <w:rFonts w:hint="eastAsia" w:ascii="宋体" w:hAnsi="宋体" w:cs="宋体"/>
                <w:sz w:val="24"/>
                <w:szCs w:val="24"/>
              </w:rPr>
            </w:pPr>
            <w:r>
              <w:rPr>
                <w:rFonts w:hint="eastAsia" w:ascii="宋体" w:hAnsi="宋体" w:cs="宋体"/>
                <w:color w:val="000000" w:themeColor="text1"/>
                <w:sz w:val="24"/>
                <w:szCs w:val="24"/>
                <w14:textFill>
                  <w14:solidFill>
                    <w14:schemeClr w14:val="tx1"/>
                  </w14:solidFill>
                </w14:textFill>
              </w:rPr>
              <w:t>投标报价得分：以按照招标文件规定修正后的所有合格投标人的评标价的最低价作为评分基准价。投标人的价格分按下式计算：报价得分=</w:t>
            </w:r>
            <w:r>
              <w:rPr>
                <w:rFonts w:hint="eastAsia" w:ascii="宋体" w:hAnsi="宋体" w:cs="宋体"/>
                <w:color w:val="000000"/>
                <w:sz w:val="24"/>
                <w:szCs w:val="24"/>
              </w:rPr>
              <w:t>（评标基准价/投标报价）×价格权值（30%）×100</w:t>
            </w:r>
            <w:r>
              <w:rPr>
                <w:rFonts w:hint="eastAsia" w:ascii="宋体" w:hAnsi="宋体" w:cs="宋体"/>
                <w:color w:val="000000" w:themeColor="text1"/>
                <w:sz w:val="24"/>
                <w:szCs w:val="24"/>
                <w14:textFill>
                  <w14:solidFill>
                    <w14:schemeClr w14:val="tx1"/>
                  </w14:solidFill>
                </w14:textFill>
              </w:rPr>
              <w:t>。</w:t>
            </w:r>
          </w:p>
        </w:tc>
        <w:tc>
          <w:tcPr>
            <w:tcW w:w="525" w:type="pct"/>
            <w:tcBorders>
              <w:top w:val="single" w:color="auto" w:sz="4" w:space="0"/>
              <w:left w:val="single" w:color="auto" w:sz="4" w:space="0"/>
              <w:bottom w:val="single" w:color="auto" w:sz="4" w:space="0"/>
              <w:right w:val="single" w:color="auto" w:sz="4" w:space="0"/>
            </w:tcBorders>
            <w:vAlign w:val="center"/>
          </w:tcPr>
          <w:p w14:paraId="6CC327F6">
            <w:pPr>
              <w:jc w:val="center"/>
              <w:rPr>
                <w:rFonts w:hint="eastAsia" w:ascii="宋体" w:hAnsi="宋体" w:cs="宋体"/>
                <w:sz w:val="24"/>
                <w:szCs w:val="24"/>
              </w:rPr>
            </w:pPr>
            <w:r>
              <w:rPr>
                <w:rFonts w:hint="eastAsia" w:ascii="宋体" w:hAnsi="宋体" w:cs="宋体"/>
                <w:sz w:val="24"/>
                <w:szCs w:val="24"/>
              </w:rPr>
              <w:t>0-30</w:t>
            </w:r>
            <w:r>
              <w:rPr>
                <w:rFonts w:hint="eastAsia" w:ascii="宋体" w:hAnsi="宋体" w:cs="宋体"/>
                <w:color w:val="000000"/>
                <w:sz w:val="24"/>
                <w:szCs w:val="24"/>
              </w:rPr>
              <w:t>分</w:t>
            </w:r>
          </w:p>
        </w:tc>
        <w:tc>
          <w:tcPr>
            <w:tcW w:w="548" w:type="pct"/>
            <w:tcBorders>
              <w:top w:val="single" w:color="auto" w:sz="4" w:space="0"/>
              <w:left w:val="single" w:color="auto" w:sz="4" w:space="0"/>
              <w:bottom w:val="single" w:color="auto" w:sz="4" w:space="0"/>
              <w:right w:val="single" w:color="auto" w:sz="8" w:space="0"/>
            </w:tcBorders>
            <w:vAlign w:val="center"/>
          </w:tcPr>
          <w:p w14:paraId="15E0F04C">
            <w:pPr>
              <w:jc w:val="center"/>
              <w:rPr>
                <w:rFonts w:hint="eastAsia" w:ascii="宋体" w:hAnsi="宋体" w:cs="宋体"/>
                <w:sz w:val="24"/>
                <w:szCs w:val="24"/>
              </w:rPr>
            </w:pPr>
            <w:r>
              <w:rPr>
                <w:rFonts w:hint="eastAsia" w:ascii="宋体" w:hAnsi="宋体" w:cs="宋体"/>
                <w:sz w:val="24"/>
                <w:szCs w:val="24"/>
              </w:rPr>
              <w:t>客观分</w:t>
            </w:r>
          </w:p>
        </w:tc>
      </w:tr>
      <w:tr w14:paraId="74FC7CB6">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310" w:hRule="atLeast"/>
        </w:trPr>
        <w:tc>
          <w:tcPr>
            <w:tcW w:w="254" w:type="pct"/>
            <w:tcBorders>
              <w:top w:val="single" w:color="auto" w:sz="4" w:space="0"/>
              <w:left w:val="single" w:color="auto" w:sz="8" w:space="0"/>
              <w:right w:val="single" w:color="auto" w:sz="4" w:space="0"/>
            </w:tcBorders>
            <w:vAlign w:val="center"/>
          </w:tcPr>
          <w:p w14:paraId="54AAECCD">
            <w:pPr>
              <w:adjustRightInd w:val="0"/>
              <w:snapToGrid w:val="0"/>
              <w:jc w:val="center"/>
              <w:rPr>
                <w:rFonts w:hint="eastAsia" w:ascii="宋体" w:hAnsi="宋体" w:cs="宋体"/>
                <w:sz w:val="24"/>
                <w:szCs w:val="24"/>
              </w:rPr>
            </w:pPr>
            <w:r>
              <w:rPr>
                <w:rFonts w:hint="eastAsia" w:ascii="宋体" w:hAnsi="宋体" w:cs="宋体"/>
                <w:sz w:val="24"/>
                <w:szCs w:val="24"/>
              </w:rPr>
              <w:t>2</w:t>
            </w:r>
          </w:p>
        </w:tc>
        <w:tc>
          <w:tcPr>
            <w:tcW w:w="371" w:type="pct"/>
            <w:tcBorders>
              <w:top w:val="single" w:color="auto" w:sz="4" w:space="0"/>
              <w:left w:val="single" w:color="auto" w:sz="4" w:space="0"/>
              <w:right w:val="single" w:color="auto" w:sz="4" w:space="0"/>
            </w:tcBorders>
            <w:vAlign w:val="center"/>
          </w:tcPr>
          <w:p w14:paraId="3C4B5ECC">
            <w:pPr>
              <w:autoSpaceDE w:val="0"/>
              <w:autoSpaceDN w:val="0"/>
              <w:adjustRightInd w:val="0"/>
              <w:jc w:val="center"/>
              <w:rPr>
                <w:rFonts w:hint="eastAsia" w:ascii="宋体" w:hAnsi="宋体" w:cs="宋体"/>
                <w:color w:val="000000"/>
                <w:kern w:val="0"/>
                <w:sz w:val="24"/>
                <w:szCs w:val="24"/>
                <w:lang w:bidi="ar"/>
              </w:rPr>
            </w:pPr>
            <w:r>
              <w:rPr>
                <w:rFonts w:hint="eastAsia" w:ascii="宋体" w:hAnsi="宋体" w:cs="宋体"/>
                <w:color w:val="000000"/>
                <w:kern w:val="0"/>
                <w:sz w:val="24"/>
                <w:szCs w:val="24"/>
                <w:lang w:bidi="ar"/>
              </w:rPr>
              <w:t>技术</w:t>
            </w:r>
          </w:p>
        </w:tc>
        <w:tc>
          <w:tcPr>
            <w:tcW w:w="3302" w:type="pct"/>
            <w:tcBorders>
              <w:top w:val="single" w:color="auto" w:sz="4" w:space="0"/>
              <w:left w:val="single" w:color="auto" w:sz="4" w:space="0"/>
              <w:bottom w:val="single" w:color="auto" w:sz="4" w:space="0"/>
              <w:right w:val="single" w:color="auto" w:sz="4" w:space="0"/>
            </w:tcBorders>
          </w:tcPr>
          <w:p w14:paraId="1D8C2BE6">
            <w:pPr>
              <w:widowControl/>
              <w:textAlignment w:val="center"/>
              <w:rPr>
                <w:rFonts w:hint="eastAsia" w:ascii="宋体" w:hAnsi="宋体" w:cs="宋体"/>
                <w:color w:val="auto"/>
                <w:kern w:val="0"/>
                <w:sz w:val="24"/>
                <w:szCs w:val="24"/>
                <w:lang w:bidi="ar"/>
              </w:rPr>
            </w:pPr>
            <w:bookmarkStart w:id="16" w:name="OLE_LINK1"/>
            <w:r>
              <w:rPr>
                <w:rFonts w:hint="eastAsia" w:ascii="宋体" w:hAnsi="宋体" w:cs="宋体"/>
                <w:color w:val="auto"/>
                <w:kern w:val="0"/>
                <w:sz w:val="24"/>
                <w:szCs w:val="24"/>
                <w:lang w:bidi="ar"/>
              </w:rPr>
              <w:t>纯电动全车实训系统</w:t>
            </w:r>
          </w:p>
          <w:bookmarkEnd w:id="16"/>
          <w:p w14:paraId="257CD0ED">
            <w:pPr>
              <w:widowControl/>
              <w:textAlignment w:val="center"/>
              <w:rPr>
                <w:rFonts w:hint="eastAsia" w:ascii="宋体" w:hAnsi="宋体" w:cs="宋体"/>
                <w:color w:val="auto"/>
                <w:kern w:val="0"/>
                <w:sz w:val="24"/>
                <w:szCs w:val="24"/>
                <w:lang w:bidi="ar"/>
              </w:rPr>
            </w:pPr>
            <w:r>
              <w:rPr>
                <w:rFonts w:hint="eastAsia" w:ascii="宋体" w:hAnsi="宋体" w:cs="宋体"/>
                <w:color w:val="auto"/>
                <w:kern w:val="0"/>
                <w:sz w:val="24"/>
                <w:szCs w:val="24"/>
                <w:lang w:bidi="ar"/>
              </w:rPr>
              <w:t xml:space="preserve">一、提供实训室管理系统： </w:t>
            </w:r>
          </w:p>
          <w:p w14:paraId="4067DAAE">
            <w:pPr>
              <w:rPr>
                <w:rFonts w:hint="eastAsia" w:ascii="宋体" w:hAnsi="宋体" w:cs="宋体"/>
                <w:color w:val="auto"/>
                <w:kern w:val="0"/>
                <w:sz w:val="24"/>
                <w:szCs w:val="24"/>
                <w:lang w:bidi="ar"/>
              </w:rPr>
            </w:pPr>
            <w:r>
              <w:rPr>
                <w:rFonts w:hint="eastAsia" w:ascii="宋体" w:hAnsi="宋体" w:cs="宋体"/>
                <w:color w:val="auto"/>
                <w:kern w:val="0"/>
                <w:sz w:val="24"/>
                <w:szCs w:val="24"/>
                <w:lang w:bidi="ar"/>
              </w:rPr>
              <w:t>1.支持登录角色账户分权管理包含管理员、教师、学生三端、可自主注册教师及学生登录账号。(投标文件中需提供此项功能截图并加盖投标人公章，提供符合要求的得0.5分，不提供不得分。)</w:t>
            </w:r>
          </w:p>
          <w:p w14:paraId="6B3D2318">
            <w:pPr>
              <w:rPr>
                <w:rFonts w:ascii="宋体" w:hAnsi="宋体" w:cs="宋体"/>
                <w:color w:val="auto"/>
                <w:kern w:val="0"/>
                <w:sz w:val="24"/>
                <w:szCs w:val="24"/>
                <w:lang w:bidi="ar"/>
              </w:rPr>
            </w:pPr>
            <w:r>
              <w:rPr>
                <w:rFonts w:hint="eastAsia" w:ascii="宋体" w:hAnsi="宋体" w:cs="宋体"/>
                <w:color w:val="auto"/>
                <w:kern w:val="0"/>
                <w:sz w:val="24"/>
                <w:szCs w:val="24"/>
                <w:lang w:bidi="ar"/>
              </w:rPr>
              <w:t>2.提供用户管理模块：可针对各级用户进行增、删、改、查操作，提供用户相关信息包含权限名称、登陆账号、真实姓名、学号工号、学院、班级等信息，同时超级管理员可以进行相关权限管理。 (投标文件中需提供此项功能截图并加盖投标人公章，提供符合要求的得0.5分，不提供不得分。)</w:t>
            </w:r>
          </w:p>
          <w:p w14:paraId="2378406A">
            <w:pPr>
              <w:rPr>
                <w:rFonts w:hint="eastAsia" w:ascii="宋体" w:hAnsi="宋体" w:cs="宋体"/>
                <w:color w:val="auto"/>
                <w:kern w:val="0"/>
                <w:sz w:val="24"/>
                <w:szCs w:val="24"/>
                <w:lang w:bidi="ar"/>
              </w:rPr>
            </w:pPr>
            <w:r>
              <w:rPr>
                <w:rFonts w:hint="eastAsia" w:ascii="宋体" w:hAnsi="宋体" w:cs="宋体"/>
                <w:color w:val="auto"/>
                <w:kern w:val="0"/>
                <w:sz w:val="24"/>
                <w:szCs w:val="24"/>
                <w:lang w:bidi="ar"/>
              </w:rPr>
              <w:t xml:space="preserve">3.提供通知管理模块：添加相关通知信息、针对通知信息进行增、删、改、查操作管理。(投标文件中需提供此项功能截图并加盖投标人公章，提供符合要求的得0.5分，不提供不得分。) </w:t>
            </w:r>
          </w:p>
          <w:p w14:paraId="574BDD2D">
            <w:pPr>
              <w:rPr>
                <w:rFonts w:hint="eastAsia" w:ascii="宋体" w:hAnsi="宋体" w:cs="宋体"/>
                <w:color w:val="auto"/>
                <w:kern w:val="0"/>
                <w:sz w:val="24"/>
                <w:szCs w:val="24"/>
                <w:lang w:bidi="ar"/>
              </w:rPr>
            </w:pPr>
            <w:r>
              <w:rPr>
                <w:rFonts w:hint="eastAsia" w:ascii="宋体" w:hAnsi="宋体" w:cs="宋体"/>
                <w:color w:val="auto"/>
                <w:kern w:val="0"/>
                <w:sz w:val="24"/>
                <w:szCs w:val="24"/>
                <w:lang w:bidi="ar"/>
              </w:rPr>
              <w:t xml:space="preserve">4.提供实训管理模块：包含实训基本信息、实训大纲、实训预约、实训规章制度管理 ≥4 个子模块。基本信息包含名称、负责人、功能、地点、添加时间等，提供按名称负责人查询功能。预约模块提供预约申请及、取消预约，包含场地及设备预约功能。(投标文件中需提供此项功能截图并加盖投标人公章，提供符合要求的得1分，不提供不得分。) </w:t>
            </w:r>
          </w:p>
          <w:p w14:paraId="1470E9CE">
            <w:pPr>
              <w:rPr>
                <w:rFonts w:ascii="宋体" w:hAnsi="宋体" w:cs="宋体"/>
                <w:color w:val="auto"/>
                <w:kern w:val="0"/>
                <w:sz w:val="24"/>
                <w:szCs w:val="24"/>
                <w:lang w:bidi="ar"/>
              </w:rPr>
            </w:pPr>
            <w:r>
              <w:rPr>
                <w:rFonts w:hint="eastAsia" w:ascii="宋体" w:hAnsi="宋体" w:cs="宋体"/>
                <w:color w:val="auto"/>
                <w:kern w:val="0"/>
                <w:sz w:val="24"/>
                <w:szCs w:val="24"/>
                <w:lang w:bidi="ar"/>
              </w:rPr>
              <w:t>5.提供课程与设备管理模块：包含课程与设备详情、管理≥ 2个子模块。其中课程与设备可添加对应课程及设备相关信息等内容，管理可添加对应图片等说明。 (投标文件中需提供此项功能截图并加盖投标人公章，提供符合要求的得1分，不提供不得分。)</w:t>
            </w:r>
          </w:p>
          <w:p w14:paraId="4AC6513D">
            <w:pPr>
              <w:rPr>
                <w:rFonts w:ascii="宋体" w:hAnsi="宋体" w:cs="宋体"/>
                <w:color w:val="auto"/>
                <w:kern w:val="0"/>
                <w:sz w:val="24"/>
                <w:szCs w:val="24"/>
                <w:lang w:bidi="ar"/>
              </w:rPr>
            </w:pPr>
            <w:r>
              <w:rPr>
                <w:rFonts w:hint="eastAsia" w:ascii="宋体" w:hAnsi="宋体" w:cs="宋体"/>
                <w:color w:val="auto"/>
                <w:kern w:val="0"/>
                <w:sz w:val="24"/>
                <w:szCs w:val="24"/>
                <w:lang w:bidi="ar"/>
              </w:rPr>
              <w:t>6.提供设备借用管理模块：实现借用设备及归还设备管理。(投标文件中需提供此项功能截图并加盖投标人公章，提供符合要求的得0.5分，不提供不得分。)</w:t>
            </w:r>
          </w:p>
          <w:p w14:paraId="35275CFD">
            <w:pPr>
              <w:rPr>
                <w:rFonts w:ascii="宋体" w:hAnsi="宋体" w:cs="宋体"/>
                <w:color w:val="auto"/>
                <w:kern w:val="0"/>
                <w:sz w:val="24"/>
                <w:szCs w:val="24"/>
                <w:lang w:bidi="ar"/>
              </w:rPr>
            </w:pPr>
            <w:r>
              <w:rPr>
                <w:rFonts w:hint="eastAsia" w:ascii="宋体" w:hAnsi="宋体" w:cs="宋体"/>
                <w:color w:val="auto"/>
                <w:kern w:val="0"/>
                <w:sz w:val="24"/>
                <w:szCs w:val="24"/>
                <w:lang w:bidi="ar"/>
              </w:rPr>
              <w:t>7.提供设备维修管理模块：提供维修管理子模块：包含设备基本信息、报修信息添加、是否维修状态管理等功能。提供报修日志管理子模块，统计维修详情、支持导出表格。(投标文件中需提供此项功能截图并加盖投标人公章，提供符合要求的得0.5分，不提供不得分。)</w:t>
            </w:r>
          </w:p>
          <w:p w14:paraId="422728DB">
            <w:pPr>
              <w:rPr>
                <w:rFonts w:ascii="宋体" w:hAnsi="宋体" w:cs="宋体"/>
                <w:color w:val="auto"/>
                <w:kern w:val="0"/>
                <w:sz w:val="24"/>
                <w:szCs w:val="24"/>
                <w:lang w:bidi="ar"/>
              </w:rPr>
            </w:pPr>
            <w:r>
              <w:rPr>
                <w:rFonts w:hint="eastAsia" w:ascii="宋体" w:hAnsi="宋体" w:cs="宋体"/>
                <w:color w:val="auto"/>
                <w:kern w:val="0"/>
                <w:sz w:val="24"/>
                <w:szCs w:val="24"/>
                <w:lang w:bidi="ar"/>
              </w:rPr>
              <w:t>8.提供报表统计功能模块：包含实训预约人统计表子模块以及借用统计表模块，提供通过名称、预约人查询功能。(投标文件中需提供此项功能截图并加盖投标人公章，提供符合要求的得0.5分，不提供不得分。)</w:t>
            </w:r>
          </w:p>
          <w:p w14:paraId="0AFB8FAC">
            <w:pPr>
              <w:widowControl/>
              <w:textAlignment w:val="center"/>
              <w:rPr>
                <w:rFonts w:hint="eastAsia" w:ascii="宋体" w:hAnsi="宋体" w:cs="宋体"/>
                <w:b/>
                <w:bCs/>
                <w:color w:val="auto"/>
                <w:kern w:val="0"/>
                <w:sz w:val="24"/>
                <w:szCs w:val="24"/>
                <w:lang w:bidi="ar"/>
              </w:rPr>
            </w:pPr>
            <w:r>
              <w:rPr>
                <w:rFonts w:hint="eastAsia" w:ascii="宋体" w:hAnsi="宋体" w:cs="宋体"/>
                <w:color w:val="auto"/>
                <w:kern w:val="0"/>
                <w:sz w:val="24"/>
                <w:szCs w:val="24"/>
                <w:lang w:bidi="ar"/>
              </w:rPr>
              <w:t>9.提供耗材管理列表：耗材名录、提供耗材型号、库存数量、消耗数量、消耗原因、耗材低库存量预警提示。(投标文件中需提供此项功能截图并加盖投标人公章，提供符合要求的得1分，不提供不得分。)</w:t>
            </w:r>
          </w:p>
        </w:tc>
        <w:tc>
          <w:tcPr>
            <w:tcW w:w="525" w:type="pct"/>
            <w:tcBorders>
              <w:top w:val="single" w:color="auto" w:sz="4" w:space="0"/>
              <w:left w:val="single" w:color="auto" w:sz="4" w:space="0"/>
              <w:bottom w:val="single" w:color="auto" w:sz="4" w:space="0"/>
              <w:right w:val="single" w:color="auto" w:sz="4" w:space="0"/>
            </w:tcBorders>
            <w:vAlign w:val="center"/>
          </w:tcPr>
          <w:p w14:paraId="6FC378DF">
            <w:pPr>
              <w:pStyle w:val="3"/>
              <w:spacing w:before="0" w:after="0" w:line="240" w:lineRule="auto"/>
              <w:jc w:val="center"/>
              <w:rPr>
                <w:rFonts w:hint="eastAsia" w:ascii="宋体" w:hAnsi="宋体" w:eastAsia="宋体" w:cs="宋体"/>
                <w:b w:val="0"/>
                <w:bCs w:val="0"/>
                <w:sz w:val="24"/>
                <w:szCs w:val="24"/>
              </w:rPr>
            </w:pPr>
            <w:r>
              <w:rPr>
                <w:rFonts w:hint="eastAsia" w:ascii="宋体" w:hAnsi="宋体" w:eastAsia="宋体" w:cs="宋体"/>
                <w:b w:val="0"/>
                <w:bCs w:val="0"/>
                <w:sz w:val="24"/>
                <w:szCs w:val="24"/>
              </w:rPr>
              <w:t>0-6分</w:t>
            </w:r>
          </w:p>
        </w:tc>
        <w:tc>
          <w:tcPr>
            <w:tcW w:w="548" w:type="pct"/>
            <w:tcBorders>
              <w:top w:val="single" w:color="auto" w:sz="4" w:space="0"/>
              <w:left w:val="single" w:color="auto" w:sz="4" w:space="0"/>
              <w:bottom w:val="single" w:color="auto" w:sz="4" w:space="0"/>
              <w:right w:val="single" w:color="auto" w:sz="8" w:space="0"/>
            </w:tcBorders>
            <w:vAlign w:val="center"/>
          </w:tcPr>
          <w:p w14:paraId="3900F67A">
            <w:pPr>
              <w:jc w:val="center"/>
              <w:rPr>
                <w:rFonts w:hint="eastAsia" w:ascii="宋体" w:hAnsi="宋体" w:cs="宋体"/>
                <w:sz w:val="24"/>
                <w:szCs w:val="24"/>
              </w:rPr>
            </w:pPr>
            <w:r>
              <w:rPr>
                <w:rFonts w:hint="eastAsia" w:ascii="宋体" w:hAnsi="宋体" w:cs="宋体"/>
                <w:sz w:val="24"/>
                <w:szCs w:val="24"/>
              </w:rPr>
              <w:t>客观分</w:t>
            </w:r>
          </w:p>
        </w:tc>
      </w:tr>
      <w:tr w14:paraId="7BD172A1">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928" w:hRule="atLeast"/>
        </w:trPr>
        <w:tc>
          <w:tcPr>
            <w:tcW w:w="254" w:type="pct"/>
            <w:tcBorders>
              <w:top w:val="single" w:color="auto" w:sz="4" w:space="0"/>
              <w:left w:val="single" w:color="auto" w:sz="8" w:space="0"/>
              <w:right w:val="single" w:color="auto" w:sz="4" w:space="0"/>
            </w:tcBorders>
            <w:vAlign w:val="center"/>
          </w:tcPr>
          <w:p w14:paraId="15493C85">
            <w:pPr>
              <w:adjustRightInd w:val="0"/>
              <w:snapToGrid w:val="0"/>
              <w:jc w:val="center"/>
              <w:rPr>
                <w:rFonts w:hint="eastAsia" w:ascii="宋体" w:hAnsi="宋体" w:cs="宋体"/>
                <w:sz w:val="24"/>
                <w:szCs w:val="24"/>
              </w:rPr>
            </w:pPr>
            <w:r>
              <w:rPr>
                <w:rFonts w:hint="eastAsia" w:ascii="宋体" w:hAnsi="宋体" w:cs="宋体"/>
                <w:sz w:val="24"/>
                <w:szCs w:val="24"/>
              </w:rPr>
              <w:t>3</w:t>
            </w:r>
          </w:p>
        </w:tc>
        <w:tc>
          <w:tcPr>
            <w:tcW w:w="371" w:type="pct"/>
            <w:tcBorders>
              <w:top w:val="single" w:color="auto" w:sz="4" w:space="0"/>
              <w:left w:val="single" w:color="auto" w:sz="4" w:space="0"/>
              <w:right w:val="single" w:color="auto" w:sz="4" w:space="0"/>
            </w:tcBorders>
            <w:vAlign w:val="center"/>
          </w:tcPr>
          <w:p w14:paraId="35A36B18">
            <w:pPr>
              <w:autoSpaceDE w:val="0"/>
              <w:autoSpaceDN w:val="0"/>
              <w:adjustRightInd w:val="0"/>
              <w:jc w:val="center"/>
              <w:rPr>
                <w:rFonts w:hint="eastAsia" w:ascii="宋体" w:hAnsi="宋体" w:cs="宋体"/>
                <w:color w:val="000000"/>
                <w:kern w:val="0"/>
                <w:sz w:val="24"/>
                <w:szCs w:val="24"/>
                <w:lang w:bidi="ar"/>
              </w:rPr>
            </w:pPr>
            <w:r>
              <w:rPr>
                <w:rFonts w:hint="eastAsia" w:ascii="宋体" w:hAnsi="宋体" w:cs="宋体"/>
                <w:color w:val="000000"/>
                <w:kern w:val="0"/>
                <w:sz w:val="24"/>
                <w:szCs w:val="24"/>
                <w:lang w:bidi="ar"/>
              </w:rPr>
              <w:t>技术</w:t>
            </w:r>
          </w:p>
        </w:tc>
        <w:tc>
          <w:tcPr>
            <w:tcW w:w="3302" w:type="pct"/>
            <w:tcBorders>
              <w:top w:val="single" w:color="auto" w:sz="4" w:space="0"/>
              <w:left w:val="single" w:color="auto" w:sz="4" w:space="0"/>
              <w:bottom w:val="single" w:color="auto" w:sz="4" w:space="0"/>
              <w:right w:val="single" w:color="auto" w:sz="4" w:space="0"/>
            </w:tcBorders>
          </w:tcPr>
          <w:p w14:paraId="28E77C8A">
            <w:pPr>
              <w:rPr>
                <w:rFonts w:ascii="宋体" w:hAnsi="宋体" w:cs="宋体"/>
                <w:color w:val="auto"/>
                <w:kern w:val="0"/>
                <w:sz w:val="24"/>
                <w:szCs w:val="24"/>
                <w:lang w:bidi="ar"/>
              </w:rPr>
            </w:pPr>
            <w:bookmarkStart w:id="17" w:name="OLE_LINK3"/>
            <w:r>
              <w:rPr>
                <w:rFonts w:hint="eastAsia" w:ascii="宋体" w:hAnsi="宋体" w:cs="宋体"/>
                <w:color w:val="auto"/>
                <w:kern w:val="0"/>
                <w:sz w:val="24"/>
                <w:szCs w:val="24"/>
                <w:lang w:bidi="ar"/>
              </w:rPr>
              <w:t>电池包组装实训台</w:t>
            </w:r>
          </w:p>
          <w:p w14:paraId="53A174BA">
            <w:pPr>
              <w:rPr>
                <w:rFonts w:ascii="宋体" w:hAnsi="宋体" w:cs="宋体"/>
                <w:color w:val="auto"/>
                <w:sz w:val="24"/>
                <w:szCs w:val="24"/>
              </w:rPr>
            </w:pPr>
            <w:r>
              <w:rPr>
                <w:rFonts w:hint="eastAsia" w:ascii="宋体" w:hAnsi="宋体" w:cs="宋体"/>
                <w:color w:val="auto"/>
                <w:sz w:val="24"/>
                <w:szCs w:val="24"/>
              </w:rPr>
              <w:t>电池包组装实训台智能化教学系统软件：</w:t>
            </w:r>
          </w:p>
          <w:bookmarkEnd w:id="17"/>
          <w:p w14:paraId="7407DF0E">
            <w:pPr>
              <w:rPr>
                <w:rFonts w:ascii="宋体" w:hAnsi="宋体" w:cs="宋体"/>
                <w:color w:val="auto"/>
                <w:kern w:val="0"/>
                <w:sz w:val="24"/>
                <w:szCs w:val="24"/>
                <w:lang w:bidi="ar"/>
              </w:rPr>
            </w:pPr>
            <w:r>
              <w:rPr>
                <w:rFonts w:hint="eastAsia" w:ascii="宋体" w:hAnsi="宋体" w:cs="宋体"/>
                <w:color w:val="auto"/>
                <w:kern w:val="0"/>
                <w:sz w:val="24"/>
                <w:szCs w:val="24"/>
                <w:lang w:bidi="ar"/>
              </w:rPr>
              <w:t>（1）高压板模块：可实时显示电池包放电电流、充电电流、总电压、绝缘电阻值、SOC值、电池包最高电压组、电池包最低电压组、电压差、电池组平均电压、充电机充电状态等信息，界面配有指针显示表和电池包电量显示动画。(投标文件中需提供此项功能截图并加盖投标人公章，提供符合要求的得1</w:t>
            </w:r>
            <w:r>
              <w:rPr>
                <w:rFonts w:hint="eastAsia" w:ascii="宋体" w:hAnsi="宋体" w:cs="宋体"/>
                <w:color w:val="auto"/>
                <w:kern w:val="0"/>
                <w:sz w:val="24"/>
                <w:szCs w:val="24"/>
                <w:lang w:val="en-US" w:eastAsia="zh-CN" w:bidi="ar"/>
              </w:rPr>
              <w:t>.5</w:t>
            </w:r>
            <w:r>
              <w:rPr>
                <w:rFonts w:hint="eastAsia" w:ascii="宋体" w:hAnsi="宋体" w:cs="宋体"/>
                <w:color w:val="auto"/>
                <w:kern w:val="0"/>
                <w:sz w:val="24"/>
                <w:szCs w:val="24"/>
                <w:lang w:bidi="ar"/>
              </w:rPr>
              <w:t>分，不提供不得分。)</w:t>
            </w:r>
          </w:p>
          <w:p w14:paraId="6D0513F8">
            <w:pPr>
              <w:rPr>
                <w:rFonts w:ascii="宋体" w:hAnsi="宋体" w:cs="宋体"/>
                <w:color w:val="auto"/>
                <w:kern w:val="0"/>
                <w:sz w:val="24"/>
                <w:szCs w:val="24"/>
                <w:lang w:bidi="ar"/>
              </w:rPr>
            </w:pPr>
            <w:r>
              <w:rPr>
                <w:rFonts w:hint="eastAsia" w:ascii="宋体" w:hAnsi="宋体" w:cs="宋体"/>
                <w:color w:val="auto"/>
                <w:kern w:val="0"/>
                <w:sz w:val="24"/>
                <w:szCs w:val="24"/>
                <w:lang w:bidi="ar"/>
              </w:rPr>
              <w:t>（2）电池包模块：可实时显示电池包内所有温度传感器数值并列出最高温度值和最低温度值。(投标文件中需提供此项功能截图并加盖投标人公章，提供符合要求的得1</w:t>
            </w:r>
            <w:r>
              <w:rPr>
                <w:rFonts w:hint="eastAsia" w:ascii="宋体" w:hAnsi="宋体" w:cs="宋体"/>
                <w:color w:val="auto"/>
                <w:kern w:val="0"/>
                <w:sz w:val="24"/>
                <w:szCs w:val="24"/>
                <w:lang w:val="en-US" w:eastAsia="zh-CN" w:bidi="ar"/>
              </w:rPr>
              <w:t>.5</w:t>
            </w:r>
            <w:r>
              <w:rPr>
                <w:rFonts w:hint="eastAsia" w:ascii="宋体" w:hAnsi="宋体" w:cs="宋体"/>
                <w:color w:val="auto"/>
                <w:kern w:val="0"/>
                <w:sz w:val="24"/>
                <w:szCs w:val="24"/>
                <w:lang w:bidi="ar"/>
              </w:rPr>
              <w:t>分，不提供不得分。)</w:t>
            </w:r>
          </w:p>
          <w:p w14:paraId="76DC02E8">
            <w:pPr>
              <w:rPr>
                <w:rFonts w:ascii="宋体" w:hAnsi="宋体" w:cs="宋体"/>
                <w:color w:val="auto"/>
                <w:kern w:val="0"/>
                <w:sz w:val="24"/>
                <w:szCs w:val="24"/>
                <w:lang w:bidi="ar"/>
              </w:rPr>
            </w:pPr>
            <w:r>
              <w:rPr>
                <w:rFonts w:hint="eastAsia" w:ascii="宋体" w:hAnsi="宋体" w:cs="宋体"/>
                <w:color w:val="auto"/>
                <w:kern w:val="0"/>
                <w:sz w:val="24"/>
                <w:szCs w:val="24"/>
                <w:lang w:bidi="ar"/>
              </w:rPr>
              <w:t>（3）电池电压模块：实时显示电池包内2个电池组中单体电池电压值，每个电池组下方列出电池组的电压平均值，使用红色条框标识出每个电池组中最大电压值，使用蓝色条框标识出每个电池组中最小电压值，使用红色圆点标识出每个电池组中处于均衡状态的单体电池。(投标文件中需提供此项功能截图并加盖投标人公章，提供符合要求的得1</w:t>
            </w:r>
            <w:r>
              <w:rPr>
                <w:rFonts w:hint="eastAsia" w:ascii="宋体" w:hAnsi="宋体" w:cs="宋体"/>
                <w:color w:val="auto"/>
                <w:kern w:val="0"/>
                <w:sz w:val="24"/>
                <w:szCs w:val="24"/>
                <w:lang w:val="en-US" w:eastAsia="zh-CN" w:bidi="ar"/>
              </w:rPr>
              <w:t>.5</w:t>
            </w:r>
            <w:r>
              <w:rPr>
                <w:rFonts w:hint="eastAsia" w:ascii="宋体" w:hAnsi="宋体" w:cs="宋体"/>
                <w:color w:val="auto"/>
                <w:kern w:val="0"/>
                <w:sz w:val="24"/>
                <w:szCs w:val="24"/>
                <w:lang w:bidi="ar"/>
              </w:rPr>
              <w:t>分，不提供不得分。)</w:t>
            </w:r>
          </w:p>
          <w:p w14:paraId="71687B2F">
            <w:pPr>
              <w:rPr>
                <w:rFonts w:ascii="宋体" w:hAnsi="宋体" w:cs="宋体"/>
                <w:color w:val="auto"/>
                <w:kern w:val="0"/>
                <w:sz w:val="24"/>
                <w:szCs w:val="24"/>
                <w:lang w:bidi="ar"/>
              </w:rPr>
            </w:pPr>
            <w:r>
              <w:rPr>
                <w:rFonts w:hint="eastAsia" w:ascii="宋体" w:hAnsi="宋体" w:cs="宋体"/>
                <w:color w:val="auto"/>
                <w:kern w:val="0"/>
                <w:sz w:val="24"/>
                <w:szCs w:val="24"/>
                <w:lang w:bidi="ar"/>
              </w:rPr>
              <w:t>（4）HBMU配置模块：可下载出现有BMU中的版本信息、电池编号、温度传感器编号、电池组板号、故障信息、充电机工作设置、充电机配置信息、预充设置、电池容量、单体电池过压报警阈值、短路电流报警阈值等71项内容。为方便教学及对BMS学习系统特定开放了部分可设定选项如单体电池欠压报警一级阈值、总电压欠压报警阈值、SOC过低报警阈值、单体动态电压差报警阈值、系统温度差报警阈值。(投标文件中需提供此项功能截图并加盖投标人公章，提供符合要求的得1</w:t>
            </w:r>
            <w:r>
              <w:rPr>
                <w:rFonts w:hint="eastAsia" w:ascii="宋体" w:hAnsi="宋体" w:cs="宋体"/>
                <w:color w:val="auto"/>
                <w:kern w:val="0"/>
                <w:sz w:val="24"/>
                <w:szCs w:val="24"/>
                <w:lang w:val="en-US" w:eastAsia="zh-CN" w:bidi="ar"/>
              </w:rPr>
              <w:t>.5</w:t>
            </w:r>
            <w:r>
              <w:rPr>
                <w:rFonts w:hint="eastAsia" w:ascii="宋体" w:hAnsi="宋体" w:cs="宋体"/>
                <w:color w:val="auto"/>
                <w:kern w:val="0"/>
                <w:sz w:val="24"/>
                <w:szCs w:val="24"/>
                <w:lang w:bidi="ar"/>
              </w:rPr>
              <w:t>分，不提供不得分。)</w:t>
            </w:r>
          </w:p>
          <w:p w14:paraId="17F60C56">
            <w:pPr>
              <w:rPr>
                <w:rFonts w:hint="eastAsia" w:ascii="宋体" w:hAnsi="宋体" w:cs="宋体"/>
                <w:b/>
                <w:bCs/>
                <w:color w:val="auto"/>
                <w:sz w:val="24"/>
                <w:szCs w:val="24"/>
              </w:rPr>
            </w:pPr>
            <w:r>
              <w:rPr>
                <w:rFonts w:hint="eastAsia" w:ascii="宋体" w:hAnsi="宋体" w:cs="宋体"/>
                <w:color w:val="auto"/>
                <w:kern w:val="0"/>
                <w:sz w:val="24"/>
                <w:szCs w:val="24"/>
                <w:lang w:bidi="ar"/>
              </w:rPr>
              <w:t>（5）通讯故障模块：可实时显示电池组中各模块间通讯状态如电池组通讯状态、HMU通讯状态、充电机通讯状态、HVU通讯状态等，正常通讯时均显示为绿色有故障状态下显示为红色。(投标文件中需提供此项功能截图并加盖投标人公章，提供符合要求的得1分，不提供不得分。)</w:t>
            </w:r>
          </w:p>
        </w:tc>
        <w:tc>
          <w:tcPr>
            <w:tcW w:w="525" w:type="pct"/>
            <w:tcBorders>
              <w:top w:val="single" w:color="auto" w:sz="4" w:space="0"/>
              <w:left w:val="single" w:color="auto" w:sz="4" w:space="0"/>
              <w:bottom w:val="single" w:color="auto" w:sz="4" w:space="0"/>
              <w:right w:val="single" w:color="auto" w:sz="4" w:space="0"/>
            </w:tcBorders>
            <w:vAlign w:val="center"/>
          </w:tcPr>
          <w:p w14:paraId="554403A7">
            <w:pPr>
              <w:pStyle w:val="3"/>
              <w:spacing w:before="0" w:after="0" w:line="240" w:lineRule="auto"/>
              <w:jc w:val="center"/>
              <w:rPr>
                <w:rFonts w:hint="eastAsia" w:ascii="宋体" w:hAnsi="宋体" w:eastAsia="宋体" w:cs="宋体"/>
                <w:b w:val="0"/>
                <w:bCs w:val="0"/>
                <w:sz w:val="24"/>
                <w:szCs w:val="24"/>
              </w:rPr>
            </w:pPr>
            <w:r>
              <w:rPr>
                <w:rFonts w:hint="eastAsia" w:ascii="宋体" w:hAnsi="宋体" w:eastAsia="宋体" w:cs="宋体"/>
                <w:b w:val="0"/>
                <w:bCs w:val="0"/>
                <w:sz w:val="24"/>
                <w:szCs w:val="24"/>
              </w:rPr>
              <w:t>0-7分</w:t>
            </w:r>
          </w:p>
        </w:tc>
        <w:tc>
          <w:tcPr>
            <w:tcW w:w="548" w:type="pct"/>
            <w:tcBorders>
              <w:top w:val="single" w:color="auto" w:sz="4" w:space="0"/>
              <w:left w:val="single" w:color="auto" w:sz="4" w:space="0"/>
              <w:bottom w:val="single" w:color="auto" w:sz="4" w:space="0"/>
              <w:right w:val="single" w:color="auto" w:sz="8" w:space="0"/>
            </w:tcBorders>
            <w:vAlign w:val="center"/>
          </w:tcPr>
          <w:p w14:paraId="2D4CF14A">
            <w:pPr>
              <w:jc w:val="center"/>
              <w:rPr>
                <w:rFonts w:hint="eastAsia" w:ascii="宋体" w:hAnsi="宋体" w:cs="宋体"/>
                <w:sz w:val="24"/>
                <w:szCs w:val="24"/>
              </w:rPr>
            </w:pPr>
            <w:r>
              <w:rPr>
                <w:rFonts w:hint="eastAsia" w:ascii="宋体" w:hAnsi="宋体" w:cs="宋体"/>
                <w:sz w:val="24"/>
                <w:szCs w:val="24"/>
              </w:rPr>
              <w:t>客观分</w:t>
            </w:r>
          </w:p>
        </w:tc>
      </w:tr>
      <w:tr w14:paraId="42481661">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310" w:hRule="atLeast"/>
        </w:trPr>
        <w:tc>
          <w:tcPr>
            <w:tcW w:w="254" w:type="pct"/>
            <w:tcBorders>
              <w:top w:val="single" w:color="auto" w:sz="4" w:space="0"/>
              <w:left w:val="single" w:color="auto" w:sz="8" w:space="0"/>
              <w:right w:val="single" w:color="auto" w:sz="4" w:space="0"/>
            </w:tcBorders>
            <w:vAlign w:val="center"/>
          </w:tcPr>
          <w:p w14:paraId="2D278705">
            <w:pPr>
              <w:adjustRightInd w:val="0"/>
              <w:snapToGrid w:val="0"/>
              <w:jc w:val="center"/>
              <w:rPr>
                <w:rFonts w:hint="eastAsia" w:ascii="宋体" w:hAnsi="宋体" w:cs="宋体"/>
                <w:sz w:val="24"/>
                <w:szCs w:val="24"/>
              </w:rPr>
            </w:pPr>
            <w:r>
              <w:rPr>
                <w:rFonts w:hint="eastAsia" w:ascii="宋体" w:hAnsi="宋体" w:cs="宋体"/>
                <w:sz w:val="24"/>
                <w:szCs w:val="24"/>
              </w:rPr>
              <w:t>4</w:t>
            </w:r>
          </w:p>
        </w:tc>
        <w:tc>
          <w:tcPr>
            <w:tcW w:w="371" w:type="pct"/>
            <w:tcBorders>
              <w:top w:val="single" w:color="auto" w:sz="4" w:space="0"/>
              <w:left w:val="single" w:color="auto" w:sz="4" w:space="0"/>
              <w:right w:val="single" w:color="auto" w:sz="4" w:space="0"/>
            </w:tcBorders>
            <w:vAlign w:val="center"/>
          </w:tcPr>
          <w:p w14:paraId="6073A075">
            <w:pPr>
              <w:autoSpaceDE w:val="0"/>
              <w:autoSpaceDN w:val="0"/>
              <w:adjustRightInd w:val="0"/>
              <w:jc w:val="center"/>
              <w:rPr>
                <w:rFonts w:hint="eastAsia" w:ascii="宋体" w:hAnsi="宋体" w:cs="宋体"/>
                <w:color w:val="000000"/>
                <w:kern w:val="0"/>
                <w:sz w:val="24"/>
                <w:szCs w:val="24"/>
                <w:lang w:bidi="ar"/>
              </w:rPr>
            </w:pPr>
            <w:r>
              <w:rPr>
                <w:rFonts w:hint="eastAsia" w:ascii="宋体" w:hAnsi="宋体" w:cs="宋体"/>
                <w:color w:val="000000"/>
                <w:kern w:val="0"/>
                <w:sz w:val="24"/>
                <w:szCs w:val="24"/>
                <w:lang w:bidi="ar"/>
              </w:rPr>
              <w:t>技术</w:t>
            </w:r>
          </w:p>
        </w:tc>
        <w:tc>
          <w:tcPr>
            <w:tcW w:w="3302" w:type="pct"/>
            <w:tcBorders>
              <w:top w:val="single" w:color="auto" w:sz="4" w:space="0"/>
              <w:left w:val="single" w:color="auto" w:sz="4" w:space="0"/>
              <w:bottom w:val="single" w:color="auto" w:sz="4" w:space="0"/>
              <w:right w:val="single" w:color="auto" w:sz="4" w:space="0"/>
            </w:tcBorders>
          </w:tcPr>
          <w:p w14:paraId="4EDF99F2">
            <w:pPr>
              <w:overflowPunct w:val="0"/>
              <w:snapToGrid w:val="0"/>
              <w:jc w:val="left"/>
              <w:rPr>
                <w:rFonts w:hint="eastAsia" w:ascii="宋体" w:hAnsi="宋体" w:cs="宋体"/>
                <w:color w:val="000000"/>
                <w:kern w:val="0"/>
                <w:sz w:val="24"/>
                <w:szCs w:val="24"/>
                <w:lang w:bidi="ar"/>
              </w:rPr>
            </w:pPr>
            <w:r>
              <w:rPr>
                <w:rFonts w:hint="eastAsia" w:ascii="宋体" w:hAnsi="宋体" w:cs="宋体"/>
                <w:color w:val="000000"/>
                <w:kern w:val="0"/>
                <w:sz w:val="24"/>
                <w:szCs w:val="24"/>
                <w:lang w:bidi="ar"/>
              </w:rPr>
              <w:t>交互式高压配电实训系统</w:t>
            </w:r>
          </w:p>
          <w:p w14:paraId="7321B2E6">
            <w:pPr>
              <w:overflowPunct w:val="0"/>
              <w:snapToGrid w:val="0"/>
              <w:jc w:val="left"/>
              <w:rPr>
                <w:rFonts w:hint="eastAsia" w:ascii="宋体" w:hAnsi="宋体" w:cs="宋体"/>
                <w:b/>
                <w:bCs/>
                <w:kern w:val="0"/>
                <w:sz w:val="24"/>
                <w:szCs w:val="24"/>
                <w:lang w:bidi="ar"/>
              </w:rPr>
            </w:pPr>
            <w:r>
              <w:rPr>
                <w:rFonts w:hint="eastAsia" w:ascii="宋体" w:hAnsi="宋体" w:cs="宋体"/>
                <w:sz w:val="24"/>
                <w:szCs w:val="24"/>
              </w:rPr>
              <w:t>1.电脑上安装高压安全实训台操控软件，可以和实训台联合完成上电、下电、运行、充电、空调功能演示；</w:t>
            </w:r>
            <w:r>
              <w:rPr>
                <w:rFonts w:hint="eastAsia" w:ascii="宋体" w:hAnsi="宋体" w:cs="宋体"/>
                <w:b/>
                <w:bCs/>
                <w:kern w:val="0"/>
                <w:sz w:val="24"/>
                <w:szCs w:val="24"/>
                <w:lang w:bidi="ar"/>
              </w:rPr>
              <w:t>（投标文件中需提供上位机软件仪表显示交流充电正常的截图图片加盖投标人公章），提供得0.5分，不提供不得分。</w:t>
            </w:r>
          </w:p>
          <w:p w14:paraId="6ED92786">
            <w:pPr>
              <w:jc w:val="left"/>
              <w:rPr>
                <w:rFonts w:hint="eastAsia" w:ascii="宋体" w:hAnsi="宋体" w:cs="宋体"/>
                <w:b/>
                <w:bCs/>
                <w:kern w:val="0"/>
                <w:sz w:val="24"/>
                <w:szCs w:val="24"/>
                <w:lang w:bidi="ar"/>
              </w:rPr>
            </w:pPr>
            <w:r>
              <w:rPr>
                <w:rFonts w:hint="eastAsia" w:ascii="宋体" w:hAnsi="宋体" w:cs="宋体"/>
                <w:sz w:val="24"/>
                <w:szCs w:val="24"/>
              </w:rPr>
              <w:t>2.双击软件“高压安全操作实训台”进入操控界面，然后点击实训台上点火开关，实训台和操控软件进行工作状态REDAY灯亮起，在操控界面下方有档位P、R、N、D档，空调制冷、PTC加热、原理展示、故障设置、直流充电、通讯信号灯RX、TX；</w:t>
            </w:r>
            <w:r>
              <w:rPr>
                <w:rFonts w:hint="eastAsia" w:ascii="宋体" w:hAnsi="宋体" w:cs="宋体"/>
                <w:b/>
                <w:bCs/>
                <w:kern w:val="0"/>
                <w:sz w:val="24"/>
                <w:szCs w:val="24"/>
                <w:lang w:bidi="ar"/>
              </w:rPr>
              <w:t>（投标文件中需提供上位机软件P、N档位状态下</w:t>
            </w:r>
            <w:r>
              <w:rPr>
                <w:rFonts w:hint="eastAsia" w:ascii="宋体" w:hAnsi="宋体" w:cs="宋体"/>
                <w:b/>
                <w:bCs/>
                <w:sz w:val="24"/>
                <w:szCs w:val="24"/>
              </w:rPr>
              <w:t>高压系统工作电流走向原理图</w:t>
            </w:r>
            <w:r>
              <w:rPr>
                <w:rFonts w:hint="eastAsia" w:ascii="宋体" w:hAnsi="宋体" w:cs="宋体"/>
                <w:b/>
                <w:bCs/>
                <w:kern w:val="0"/>
                <w:sz w:val="24"/>
                <w:szCs w:val="24"/>
                <w:lang w:bidi="ar"/>
              </w:rPr>
              <w:t>的截图图片加盖投标人公章），提供得0.5分，不提供不得分。</w:t>
            </w:r>
          </w:p>
          <w:p w14:paraId="1BCE3731">
            <w:pPr>
              <w:overflowPunct w:val="0"/>
              <w:snapToGrid w:val="0"/>
              <w:jc w:val="left"/>
              <w:rPr>
                <w:rFonts w:hint="eastAsia" w:ascii="宋体" w:hAnsi="宋体" w:cs="宋体"/>
                <w:sz w:val="24"/>
                <w:szCs w:val="24"/>
              </w:rPr>
            </w:pPr>
            <w:r>
              <w:rPr>
                <w:rFonts w:hint="eastAsia" w:ascii="宋体" w:hAnsi="宋体" w:cs="宋体"/>
                <w:sz w:val="24"/>
                <w:szCs w:val="24"/>
              </w:rPr>
              <w:t>3.</w:t>
            </w:r>
            <w:r>
              <w:rPr>
                <w:rFonts w:hint="eastAsia" w:ascii="宋体" w:hAnsi="宋体" w:cs="宋体"/>
                <w:color w:val="000000"/>
                <w:kern w:val="0"/>
                <w:sz w:val="24"/>
                <w:szCs w:val="24"/>
                <w:lang w:bidi="ar"/>
              </w:rPr>
              <w:t>当点击R、D档按钮后，面板的上的的驱动电机会模拟实车方式以前进、后退的方向转动，面板上旋转按钮可以调节快慢，同时可以在面板上测量工作时接触器的电压值，还可以点击操控软件中“原理展示”按钮后软件界面将跳转到R、D当前工作运行状态电流的走向；</w:t>
            </w:r>
            <w:r>
              <w:rPr>
                <w:rFonts w:hint="eastAsia" w:ascii="宋体" w:hAnsi="宋体" w:cs="宋体"/>
                <w:b/>
                <w:bCs/>
                <w:color w:val="000000"/>
                <w:kern w:val="0"/>
                <w:sz w:val="24"/>
                <w:szCs w:val="24"/>
                <w:lang w:bidi="ar"/>
              </w:rPr>
              <w:t>（投标文件中需提供上位机软件仪表显示D挡行驶状态下的电流走向的截图图片加盖投标人公章）</w:t>
            </w:r>
            <w:r>
              <w:rPr>
                <w:rFonts w:hint="eastAsia" w:ascii="宋体" w:hAnsi="宋体" w:cs="宋体"/>
                <w:b/>
                <w:bCs/>
                <w:kern w:val="0"/>
                <w:sz w:val="24"/>
                <w:szCs w:val="24"/>
                <w:lang w:bidi="ar"/>
              </w:rPr>
              <w:t>提供得0.5分，不提供不得分。</w:t>
            </w:r>
          </w:p>
          <w:p w14:paraId="512821D9">
            <w:pPr>
              <w:overflowPunct w:val="0"/>
              <w:snapToGrid w:val="0"/>
              <w:jc w:val="left"/>
              <w:rPr>
                <w:rFonts w:hint="eastAsia" w:ascii="宋体" w:hAnsi="宋体" w:cs="宋体"/>
                <w:b/>
                <w:bCs/>
                <w:kern w:val="0"/>
                <w:sz w:val="24"/>
                <w:szCs w:val="24"/>
                <w:lang w:bidi="ar"/>
              </w:rPr>
            </w:pPr>
            <w:r>
              <w:rPr>
                <w:rFonts w:hint="eastAsia" w:ascii="宋体" w:hAnsi="宋体" w:cs="宋体"/>
                <w:sz w:val="24"/>
                <w:szCs w:val="24"/>
              </w:rPr>
              <w:t>4.当点击“制冷”和“加热”按钮后，制冷或加热接触器将会工作，面板中能测到工作时的电压值，然后点击“原理展示”按钮后界面将转到制冷、加热当前工作的电流走向；</w:t>
            </w:r>
            <w:r>
              <w:rPr>
                <w:rFonts w:hint="eastAsia" w:ascii="宋体" w:hAnsi="宋体" w:cs="宋体"/>
                <w:b/>
                <w:bCs/>
                <w:kern w:val="0"/>
                <w:sz w:val="24"/>
                <w:szCs w:val="24"/>
                <w:lang w:bidi="ar"/>
              </w:rPr>
              <w:t>（投标文件中需提供上位机软件仪表显示D挡空调制冷和制冷状态的电流走向的截图图片加盖投标人公章），提供得0.5分，不提供不得分。</w:t>
            </w:r>
          </w:p>
          <w:p w14:paraId="0BA773E0">
            <w:pPr>
              <w:overflowPunct w:val="0"/>
              <w:snapToGrid w:val="0"/>
              <w:jc w:val="left"/>
              <w:rPr>
                <w:rFonts w:hint="eastAsia" w:ascii="宋体" w:hAnsi="宋体" w:cs="宋体"/>
                <w:b/>
                <w:bCs/>
                <w:sz w:val="24"/>
                <w:szCs w:val="24"/>
              </w:rPr>
            </w:pPr>
            <w:r>
              <w:rPr>
                <w:rFonts w:hint="eastAsia" w:ascii="宋体" w:hAnsi="宋体" w:cs="宋体"/>
                <w:sz w:val="24"/>
                <w:szCs w:val="24"/>
              </w:rPr>
              <w:t>5.点击操控软件中“原理展示”按钮，软件界面将跳转到实训台当前运行状态下高压系统工作电流走向原理图，切换不同工作状态所展示的高压系统工作电流走向原理图会有所不同；</w:t>
            </w:r>
            <w:r>
              <w:rPr>
                <w:rFonts w:hint="eastAsia" w:ascii="宋体" w:hAnsi="宋体" w:cs="宋体"/>
                <w:b/>
                <w:bCs/>
                <w:kern w:val="0"/>
                <w:sz w:val="24"/>
                <w:szCs w:val="24"/>
                <w:lang w:bidi="ar"/>
              </w:rPr>
              <w:t>（投标文件中需提供上位机软件仪表显示直流充电正常和直流充电状态的电流走向的截图图片加盖投标人公章），提供得0.5分，不提供不得分。</w:t>
            </w:r>
          </w:p>
          <w:p w14:paraId="32151D63">
            <w:pPr>
              <w:widowControl/>
              <w:jc w:val="left"/>
              <w:textAlignment w:val="center"/>
              <w:rPr>
                <w:rFonts w:hint="eastAsia" w:ascii="宋体" w:hAnsi="宋体" w:cs="宋体"/>
                <w:kern w:val="0"/>
                <w:sz w:val="24"/>
                <w:szCs w:val="24"/>
                <w:lang w:bidi="ar"/>
              </w:rPr>
            </w:pPr>
            <w:r>
              <w:rPr>
                <w:rFonts w:hint="eastAsia" w:ascii="宋体" w:hAnsi="宋体" w:cs="宋体"/>
                <w:sz w:val="24"/>
                <w:szCs w:val="24"/>
              </w:rPr>
              <w:t>6.在操作软件点击故障设置按钮，将会转到故障设置器界面主放电正继电器故障、预充继电器故障、高压漏电故障、CP故障、空调压缩机故障、PTC加热故障等10路故障可以对高压系统中各接触器设置故障也可以对民用电网和交流充电系统设置故障，并且操控主界面会出现故障警报符号，显示已有故障。所有故障类型均是纯电动汽车常见故障有利于学生对纯电动汽车高压故障的理解分析。</w:t>
            </w:r>
            <w:r>
              <w:rPr>
                <w:rFonts w:hint="eastAsia" w:ascii="宋体" w:hAnsi="宋体" w:cs="宋体"/>
                <w:b/>
                <w:bCs/>
                <w:kern w:val="0"/>
                <w:sz w:val="24"/>
                <w:szCs w:val="24"/>
                <w:lang w:bidi="ar"/>
              </w:rPr>
              <w:t>（投标文件中需提供上位机软件故障设置界面的截图图片加盖投标人公章），提供得0.5分，不提供不得分。</w:t>
            </w:r>
          </w:p>
        </w:tc>
        <w:tc>
          <w:tcPr>
            <w:tcW w:w="525" w:type="pct"/>
            <w:tcBorders>
              <w:top w:val="single" w:color="auto" w:sz="4" w:space="0"/>
              <w:left w:val="single" w:color="auto" w:sz="4" w:space="0"/>
              <w:bottom w:val="single" w:color="auto" w:sz="4" w:space="0"/>
              <w:right w:val="single" w:color="auto" w:sz="4" w:space="0"/>
            </w:tcBorders>
            <w:vAlign w:val="center"/>
          </w:tcPr>
          <w:p w14:paraId="6F151D9A">
            <w:pPr>
              <w:pStyle w:val="3"/>
              <w:spacing w:before="0" w:after="0" w:line="240" w:lineRule="auto"/>
              <w:jc w:val="center"/>
              <w:rPr>
                <w:rFonts w:hint="eastAsia" w:ascii="宋体" w:hAnsi="宋体" w:eastAsia="宋体" w:cs="宋体"/>
                <w:b w:val="0"/>
                <w:bCs w:val="0"/>
                <w:sz w:val="24"/>
                <w:szCs w:val="24"/>
              </w:rPr>
            </w:pPr>
            <w:r>
              <w:rPr>
                <w:rFonts w:hint="eastAsia" w:ascii="宋体" w:hAnsi="宋体" w:eastAsia="宋体" w:cs="宋体"/>
                <w:b w:val="0"/>
                <w:bCs w:val="0"/>
                <w:sz w:val="24"/>
                <w:szCs w:val="24"/>
              </w:rPr>
              <w:t>0-3分</w:t>
            </w:r>
          </w:p>
        </w:tc>
        <w:tc>
          <w:tcPr>
            <w:tcW w:w="548" w:type="pct"/>
            <w:tcBorders>
              <w:top w:val="single" w:color="auto" w:sz="4" w:space="0"/>
              <w:left w:val="single" w:color="auto" w:sz="4" w:space="0"/>
              <w:bottom w:val="single" w:color="auto" w:sz="4" w:space="0"/>
              <w:right w:val="single" w:color="auto" w:sz="8" w:space="0"/>
            </w:tcBorders>
            <w:vAlign w:val="center"/>
          </w:tcPr>
          <w:p w14:paraId="181D9775">
            <w:pPr>
              <w:jc w:val="center"/>
              <w:rPr>
                <w:rFonts w:hint="eastAsia" w:ascii="宋体" w:hAnsi="宋体" w:cs="宋体"/>
                <w:sz w:val="24"/>
                <w:szCs w:val="24"/>
              </w:rPr>
            </w:pPr>
            <w:r>
              <w:rPr>
                <w:rFonts w:hint="eastAsia" w:ascii="宋体" w:hAnsi="宋体" w:cs="宋体"/>
                <w:sz w:val="24"/>
                <w:szCs w:val="24"/>
              </w:rPr>
              <w:t>客观分</w:t>
            </w:r>
          </w:p>
        </w:tc>
      </w:tr>
      <w:tr w14:paraId="6CADA5AD">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310" w:hRule="atLeast"/>
        </w:trPr>
        <w:tc>
          <w:tcPr>
            <w:tcW w:w="254" w:type="pct"/>
            <w:tcBorders>
              <w:top w:val="single" w:color="auto" w:sz="4" w:space="0"/>
              <w:left w:val="single" w:color="auto" w:sz="8" w:space="0"/>
              <w:right w:val="single" w:color="auto" w:sz="4" w:space="0"/>
            </w:tcBorders>
            <w:vAlign w:val="center"/>
          </w:tcPr>
          <w:p w14:paraId="628F6DE3">
            <w:pPr>
              <w:adjustRightInd w:val="0"/>
              <w:snapToGrid w:val="0"/>
              <w:jc w:val="center"/>
              <w:rPr>
                <w:rFonts w:hint="eastAsia" w:ascii="宋体" w:hAnsi="宋体" w:cs="宋体"/>
                <w:sz w:val="24"/>
                <w:szCs w:val="24"/>
              </w:rPr>
            </w:pPr>
            <w:r>
              <w:rPr>
                <w:rFonts w:hint="eastAsia" w:ascii="宋体" w:hAnsi="宋体" w:cs="宋体"/>
                <w:sz w:val="24"/>
                <w:szCs w:val="24"/>
              </w:rPr>
              <w:t>5</w:t>
            </w:r>
          </w:p>
        </w:tc>
        <w:tc>
          <w:tcPr>
            <w:tcW w:w="371" w:type="pct"/>
            <w:tcBorders>
              <w:top w:val="single" w:color="auto" w:sz="4" w:space="0"/>
              <w:left w:val="single" w:color="auto" w:sz="4" w:space="0"/>
              <w:right w:val="single" w:color="auto" w:sz="4" w:space="0"/>
            </w:tcBorders>
            <w:vAlign w:val="center"/>
          </w:tcPr>
          <w:p w14:paraId="337797D3">
            <w:pPr>
              <w:autoSpaceDE w:val="0"/>
              <w:autoSpaceDN w:val="0"/>
              <w:adjustRightInd w:val="0"/>
              <w:jc w:val="center"/>
              <w:rPr>
                <w:rFonts w:hint="eastAsia" w:ascii="宋体" w:hAnsi="宋体" w:cs="宋体"/>
                <w:color w:val="000000"/>
                <w:kern w:val="0"/>
                <w:sz w:val="24"/>
                <w:szCs w:val="24"/>
                <w:lang w:bidi="ar"/>
              </w:rPr>
            </w:pPr>
            <w:r>
              <w:rPr>
                <w:rFonts w:hint="eastAsia" w:ascii="宋体" w:hAnsi="宋体" w:cs="宋体"/>
                <w:color w:val="000000"/>
                <w:kern w:val="0"/>
                <w:sz w:val="24"/>
                <w:szCs w:val="24"/>
                <w:lang w:bidi="ar"/>
              </w:rPr>
              <w:t>技术</w:t>
            </w:r>
          </w:p>
        </w:tc>
        <w:tc>
          <w:tcPr>
            <w:tcW w:w="3302" w:type="pct"/>
            <w:tcBorders>
              <w:top w:val="single" w:color="auto" w:sz="4" w:space="0"/>
              <w:left w:val="single" w:color="auto" w:sz="4" w:space="0"/>
              <w:bottom w:val="single" w:color="auto" w:sz="4" w:space="0"/>
              <w:right w:val="single" w:color="auto" w:sz="4" w:space="0"/>
            </w:tcBorders>
          </w:tcPr>
          <w:p w14:paraId="0E0844E2">
            <w:pPr>
              <w:widowControl/>
              <w:jc w:val="left"/>
              <w:textAlignment w:val="center"/>
              <w:rPr>
                <w:rFonts w:hint="eastAsia" w:ascii="宋体" w:hAnsi="宋体" w:cs="宋体"/>
                <w:color w:val="000000"/>
                <w:kern w:val="0"/>
                <w:sz w:val="24"/>
                <w:szCs w:val="24"/>
                <w:lang w:bidi="ar"/>
              </w:rPr>
            </w:pPr>
            <w:r>
              <w:rPr>
                <w:rFonts w:hint="eastAsia" w:ascii="宋体" w:hAnsi="宋体" w:cs="宋体"/>
                <w:color w:val="000000"/>
                <w:kern w:val="0"/>
                <w:sz w:val="24"/>
                <w:szCs w:val="24"/>
                <w:lang w:bidi="ar"/>
              </w:rPr>
              <w:t>交互式高压配电实训台智能化教学系统</w:t>
            </w:r>
          </w:p>
          <w:p w14:paraId="6E4753A9">
            <w:pPr>
              <w:widowControl/>
              <w:jc w:val="left"/>
              <w:textAlignment w:val="center"/>
              <w:rPr>
                <w:rFonts w:hint="eastAsia" w:ascii="宋体" w:hAnsi="宋体" w:cs="宋体"/>
                <w:color w:val="000000"/>
                <w:kern w:val="0"/>
                <w:sz w:val="24"/>
                <w:szCs w:val="24"/>
                <w:lang w:bidi="ar"/>
              </w:rPr>
            </w:pPr>
            <w:r>
              <w:rPr>
                <w:rFonts w:hint="eastAsia" w:ascii="宋体" w:hAnsi="宋体" w:cs="宋体"/>
                <w:color w:val="000000"/>
                <w:kern w:val="0"/>
                <w:sz w:val="24"/>
                <w:szCs w:val="24"/>
                <w:lang w:bidi="ar"/>
              </w:rPr>
              <w:t>一、交互式高压配电实训台实训指导书</w:t>
            </w:r>
          </w:p>
          <w:p w14:paraId="41617820">
            <w:pPr>
              <w:widowControl/>
              <w:jc w:val="left"/>
              <w:textAlignment w:val="center"/>
              <w:rPr>
                <w:rFonts w:hint="eastAsia" w:ascii="宋体" w:hAnsi="宋体" w:cs="宋体"/>
                <w:color w:val="000000"/>
                <w:kern w:val="0"/>
                <w:sz w:val="24"/>
                <w:szCs w:val="24"/>
                <w:lang w:bidi="ar"/>
              </w:rPr>
            </w:pPr>
            <w:r>
              <w:rPr>
                <w:rFonts w:hint="eastAsia" w:ascii="宋体" w:hAnsi="宋体" w:cs="宋体"/>
                <w:color w:val="000000"/>
                <w:kern w:val="0"/>
                <w:sz w:val="24"/>
                <w:szCs w:val="24"/>
                <w:lang w:bidi="ar"/>
              </w:rPr>
              <w:t>1、章节最后的自测题可以帮助学生巩固课上所学习的内容，并对课上的重难点内容进行复习，形成课前预习-课上学习-课后复习的完整的学习链。</w:t>
            </w:r>
            <w:r>
              <w:rPr>
                <w:rFonts w:hint="eastAsia" w:ascii="宋体" w:hAnsi="宋体" w:cs="宋体"/>
                <w:b/>
                <w:bCs/>
                <w:kern w:val="0"/>
                <w:sz w:val="24"/>
                <w:szCs w:val="24"/>
              </w:rPr>
              <w:t>（投标文件中需提供其中5章节实训项目学习任务目录及课程内容功能截图并加盖投标人公章）</w:t>
            </w:r>
            <w:r>
              <w:rPr>
                <w:rFonts w:hint="eastAsia" w:ascii="宋体" w:hAnsi="宋体" w:cs="宋体"/>
                <w:b/>
                <w:bCs/>
                <w:kern w:val="0"/>
                <w:sz w:val="24"/>
                <w:szCs w:val="24"/>
                <w:lang w:bidi="ar"/>
              </w:rPr>
              <w:t>提供得1分，不提供不得分。</w:t>
            </w:r>
          </w:p>
        </w:tc>
        <w:tc>
          <w:tcPr>
            <w:tcW w:w="525" w:type="pct"/>
            <w:tcBorders>
              <w:top w:val="single" w:color="auto" w:sz="4" w:space="0"/>
              <w:left w:val="single" w:color="auto" w:sz="4" w:space="0"/>
              <w:bottom w:val="single" w:color="auto" w:sz="4" w:space="0"/>
              <w:right w:val="single" w:color="auto" w:sz="4" w:space="0"/>
            </w:tcBorders>
            <w:vAlign w:val="center"/>
          </w:tcPr>
          <w:p w14:paraId="534A35AC">
            <w:pPr>
              <w:pStyle w:val="3"/>
              <w:spacing w:before="0" w:after="0" w:line="240" w:lineRule="auto"/>
              <w:jc w:val="center"/>
              <w:rPr>
                <w:rFonts w:hint="eastAsia" w:ascii="宋体" w:hAnsi="宋体" w:eastAsia="宋体" w:cs="宋体"/>
                <w:b w:val="0"/>
                <w:bCs w:val="0"/>
                <w:sz w:val="24"/>
                <w:szCs w:val="24"/>
              </w:rPr>
            </w:pPr>
            <w:r>
              <w:rPr>
                <w:rFonts w:hint="eastAsia" w:ascii="宋体" w:hAnsi="宋体" w:eastAsia="宋体" w:cs="宋体"/>
                <w:b w:val="0"/>
                <w:bCs w:val="0"/>
                <w:sz w:val="24"/>
                <w:szCs w:val="24"/>
              </w:rPr>
              <w:t>0-1分</w:t>
            </w:r>
          </w:p>
        </w:tc>
        <w:tc>
          <w:tcPr>
            <w:tcW w:w="548" w:type="pct"/>
            <w:tcBorders>
              <w:top w:val="single" w:color="auto" w:sz="4" w:space="0"/>
              <w:left w:val="single" w:color="auto" w:sz="4" w:space="0"/>
              <w:bottom w:val="single" w:color="auto" w:sz="4" w:space="0"/>
              <w:right w:val="single" w:color="auto" w:sz="8" w:space="0"/>
            </w:tcBorders>
            <w:vAlign w:val="center"/>
          </w:tcPr>
          <w:p w14:paraId="60F9DD5A">
            <w:pPr>
              <w:jc w:val="center"/>
              <w:rPr>
                <w:rFonts w:hint="eastAsia" w:ascii="宋体" w:hAnsi="宋体" w:cs="宋体"/>
                <w:sz w:val="24"/>
                <w:szCs w:val="24"/>
              </w:rPr>
            </w:pPr>
            <w:r>
              <w:rPr>
                <w:rFonts w:hint="eastAsia" w:ascii="宋体" w:hAnsi="宋体" w:cs="宋体"/>
                <w:sz w:val="24"/>
                <w:szCs w:val="24"/>
              </w:rPr>
              <w:t>客观分</w:t>
            </w:r>
          </w:p>
        </w:tc>
      </w:tr>
      <w:tr w14:paraId="213A4D02">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310" w:hRule="atLeast"/>
        </w:trPr>
        <w:tc>
          <w:tcPr>
            <w:tcW w:w="254" w:type="pct"/>
            <w:tcBorders>
              <w:top w:val="single" w:color="auto" w:sz="4" w:space="0"/>
              <w:left w:val="single" w:color="auto" w:sz="8" w:space="0"/>
              <w:right w:val="single" w:color="auto" w:sz="4" w:space="0"/>
            </w:tcBorders>
            <w:vAlign w:val="center"/>
          </w:tcPr>
          <w:p w14:paraId="5CB9D1D6">
            <w:pPr>
              <w:adjustRightInd w:val="0"/>
              <w:snapToGrid w:val="0"/>
              <w:jc w:val="center"/>
              <w:rPr>
                <w:rFonts w:hint="eastAsia" w:ascii="宋体" w:hAnsi="宋体" w:cs="宋体"/>
                <w:sz w:val="24"/>
                <w:szCs w:val="24"/>
              </w:rPr>
            </w:pPr>
            <w:r>
              <w:rPr>
                <w:rFonts w:hint="eastAsia" w:ascii="宋体" w:hAnsi="宋体" w:cs="宋体"/>
                <w:sz w:val="24"/>
                <w:szCs w:val="24"/>
              </w:rPr>
              <w:t>6</w:t>
            </w:r>
          </w:p>
        </w:tc>
        <w:tc>
          <w:tcPr>
            <w:tcW w:w="371" w:type="pct"/>
            <w:tcBorders>
              <w:top w:val="single" w:color="auto" w:sz="4" w:space="0"/>
              <w:left w:val="single" w:color="auto" w:sz="4" w:space="0"/>
              <w:right w:val="single" w:color="auto" w:sz="4" w:space="0"/>
            </w:tcBorders>
            <w:vAlign w:val="center"/>
          </w:tcPr>
          <w:p w14:paraId="5FB3DF79">
            <w:pPr>
              <w:autoSpaceDE w:val="0"/>
              <w:autoSpaceDN w:val="0"/>
              <w:adjustRightInd w:val="0"/>
              <w:jc w:val="center"/>
              <w:rPr>
                <w:rFonts w:hint="eastAsia" w:ascii="宋体" w:hAnsi="宋体" w:cs="宋体"/>
                <w:color w:val="000000"/>
                <w:kern w:val="0"/>
                <w:sz w:val="24"/>
                <w:szCs w:val="24"/>
                <w:lang w:bidi="ar"/>
              </w:rPr>
            </w:pPr>
            <w:r>
              <w:rPr>
                <w:rFonts w:hint="eastAsia" w:ascii="宋体" w:hAnsi="宋体" w:cs="宋体"/>
                <w:color w:val="000000"/>
                <w:kern w:val="0"/>
                <w:sz w:val="24"/>
                <w:szCs w:val="24"/>
                <w:lang w:bidi="ar"/>
              </w:rPr>
              <w:t>技术</w:t>
            </w:r>
          </w:p>
        </w:tc>
        <w:tc>
          <w:tcPr>
            <w:tcW w:w="3302" w:type="pct"/>
            <w:tcBorders>
              <w:top w:val="single" w:color="auto" w:sz="4" w:space="0"/>
              <w:left w:val="single" w:color="auto" w:sz="4" w:space="0"/>
              <w:bottom w:val="single" w:color="auto" w:sz="4" w:space="0"/>
              <w:right w:val="single" w:color="auto" w:sz="4" w:space="0"/>
            </w:tcBorders>
          </w:tcPr>
          <w:p w14:paraId="129111E8">
            <w:pPr>
              <w:widowControl/>
              <w:jc w:val="left"/>
              <w:textAlignment w:val="center"/>
              <w:rPr>
                <w:rFonts w:hint="eastAsia" w:ascii="宋体" w:hAnsi="宋体" w:cs="宋体"/>
                <w:color w:val="000000"/>
                <w:kern w:val="0"/>
                <w:sz w:val="24"/>
                <w:szCs w:val="24"/>
                <w:lang w:bidi="ar"/>
              </w:rPr>
            </w:pPr>
            <w:r>
              <w:rPr>
                <w:rFonts w:hint="eastAsia" w:ascii="宋体" w:hAnsi="宋体" w:cs="宋体"/>
                <w:color w:val="000000"/>
                <w:kern w:val="0"/>
                <w:sz w:val="24"/>
                <w:szCs w:val="24"/>
                <w:lang w:bidi="ar"/>
              </w:rPr>
              <w:t>新能源汽车驱动控制实训系统</w:t>
            </w:r>
          </w:p>
          <w:p w14:paraId="6268A8CD">
            <w:pPr>
              <w:widowControl/>
              <w:jc w:val="left"/>
              <w:textAlignment w:val="center"/>
              <w:rPr>
                <w:rFonts w:hint="eastAsia" w:ascii="宋体" w:hAnsi="宋体" w:cs="宋体"/>
                <w:b/>
                <w:bCs/>
                <w:color w:val="000000"/>
                <w:kern w:val="0"/>
                <w:sz w:val="24"/>
                <w:szCs w:val="24"/>
                <w:lang w:bidi="ar"/>
              </w:rPr>
            </w:pPr>
            <w:r>
              <w:rPr>
                <w:rFonts w:hint="eastAsia" w:ascii="宋体" w:hAnsi="宋体" w:cs="宋体"/>
                <w:color w:val="000000"/>
                <w:kern w:val="0"/>
                <w:sz w:val="24"/>
                <w:szCs w:val="24"/>
                <w:lang w:bidi="ar"/>
              </w:rPr>
              <w:t>1、烧录功能：如有软件需要升级时，通过此项可一键将系统升级到最高版本；</w:t>
            </w:r>
            <w:r>
              <w:rPr>
                <w:rFonts w:hint="eastAsia" w:ascii="宋体" w:hAnsi="宋体" w:cs="宋体"/>
                <w:b/>
                <w:bCs/>
                <w:color w:val="000000"/>
                <w:kern w:val="0"/>
                <w:sz w:val="24"/>
                <w:szCs w:val="24"/>
                <w:lang w:bidi="ar"/>
              </w:rPr>
              <w:t>（投标文件中需提供驱动器参数配置功能、连续示波器功能、故障记录功能3个截图并加盖投标人公章），</w:t>
            </w:r>
            <w:r>
              <w:rPr>
                <w:rFonts w:hint="eastAsia" w:ascii="宋体" w:hAnsi="宋体" w:cs="宋体"/>
                <w:b/>
                <w:bCs/>
                <w:kern w:val="0"/>
                <w:sz w:val="24"/>
                <w:szCs w:val="24"/>
                <w:lang w:bidi="ar"/>
              </w:rPr>
              <w:t>每提供一项得1分，满分3分，不提供不得分。</w:t>
            </w:r>
          </w:p>
          <w:p w14:paraId="6420B12A">
            <w:pPr>
              <w:widowControl/>
              <w:jc w:val="left"/>
              <w:textAlignment w:val="center"/>
              <w:rPr>
                <w:rFonts w:hint="eastAsia" w:ascii="宋体" w:hAnsi="宋体" w:cs="宋体"/>
                <w:b/>
                <w:bCs/>
                <w:color w:val="000000"/>
                <w:kern w:val="0"/>
                <w:sz w:val="24"/>
                <w:szCs w:val="24"/>
                <w:lang w:bidi="ar"/>
              </w:rPr>
            </w:pPr>
            <w:r>
              <w:rPr>
                <w:rFonts w:hint="eastAsia" w:ascii="宋体" w:hAnsi="宋体" w:cs="宋体"/>
                <w:color w:val="000000"/>
                <w:kern w:val="0"/>
                <w:sz w:val="24"/>
                <w:szCs w:val="24"/>
                <w:lang w:bidi="ar"/>
              </w:rPr>
              <w:t>2、汽车视频导航端，配备驱动系统工作原理高清视频IGBT原理、电机控制原理、电机冷却系统原理、电流传感器原理等资源软件触摸屏点击随意播放，例如点击IGBT原理播放看到IGBT原理、IGBT的特性、IGBT的电流流动方向以及组成结构动画和语言同步进行，有助于学员更加了解电机和电机控制器内部工作原理和组成结构，并且教师还可以通过资源上传端口上传本地课程资源视频，可同样播放；</w:t>
            </w:r>
            <w:r>
              <w:rPr>
                <w:rFonts w:hint="eastAsia" w:ascii="宋体" w:hAnsi="宋体" w:cs="宋体"/>
                <w:b/>
                <w:bCs/>
                <w:color w:val="000000"/>
                <w:kern w:val="0"/>
                <w:sz w:val="24"/>
                <w:szCs w:val="24"/>
                <w:lang w:bidi="ar"/>
              </w:rPr>
              <w:t>（投标文件中需提供其中3节高清视频原理动画截图并加盖投标人公章），</w:t>
            </w:r>
            <w:r>
              <w:rPr>
                <w:rFonts w:hint="eastAsia" w:ascii="宋体" w:hAnsi="宋体" w:cs="宋体"/>
                <w:b/>
                <w:bCs/>
                <w:kern w:val="0"/>
                <w:sz w:val="24"/>
                <w:szCs w:val="24"/>
                <w:lang w:bidi="ar"/>
              </w:rPr>
              <w:t>每提供一项得1分，满分3分，不提供不得分。</w:t>
            </w:r>
          </w:p>
        </w:tc>
        <w:tc>
          <w:tcPr>
            <w:tcW w:w="525" w:type="pct"/>
            <w:tcBorders>
              <w:top w:val="single" w:color="auto" w:sz="4" w:space="0"/>
              <w:left w:val="single" w:color="auto" w:sz="4" w:space="0"/>
              <w:bottom w:val="single" w:color="auto" w:sz="4" w:space="0"/>
              <w:right w:val="single" w:color="auto" w:sz="4" w:space="0"/>
            </w:tcBorders>
            <w:vAlign w:val="center"/>
          </w:tcPr>
          <w:p w14:paraId="5539794A">
            <w:pPr>
              <w:pStyle w:val="3"/>
              <w:spacing w:before="0" w:after="0" w:line="240" w:lineRule="auto"/>
              <w:jc w:val="center"/>
              <w:rPr>
                <w:rFonts w:hint="eastAsia" w:ascii="宋体" w:hAnsi="宋体" w:eastAsia="宋体" w:cs="宋体"/>
                <w:b w:val="0"/>
                <w:bCs w:val="0"/>
                <w:sz w:val="24"/>
                <w:szCs w:val="24"/>
              </w:rPr>
            </w:pPr>
            <w:r>
              <w:rPr>
                <w:rFonts w:hint="eastAsia" w:ascii="宋体" w:hAnsi="宋体" w:eastAsia="宋体" w:cs="宋体"/>
                <w:b w:val="0"/>
                <w:bCs w:val="0"/>
                <w:sz w:val="24"/>
                <w:szCs w:val="24"/>
              </w:rPr>
              <w:t>0-6分</w:t>
            </w:r>
          </w:p>
        </w:tc>
        <w:tc>
          <w:tcPr>
            <w:tcW w:w="548" w:type="pct"/>
            <w:tcBorders>
              <w:top w:val="single" w:color="auto" w:sz="4" w:space="0"/>
              <w:left w:val="single" w:color="auto" w:sz="4" w:space="0"/>
              <w:bottom w:val="single" w:color="auto" w:sz="4" w:space="0"/>
              <w:right w:val="single" w:color="auto" w:sz="8" w:space="0"/>
            </w:tcBorders>
            <w:vAlign w:val="center"/>
          </w:tcPr>
          <w:p w14:paraId="18EEEE57">
            <w:pPr>
              <w:jc w:val="center"/>
              <w:rPr>
                <w:rFonts w:hint="eastAsia" w:ascii="宋体" w:hAnsi="宋体" w:cs="宋体"/>
                <w:sz w:val="24"/>
                <w:szCs w:val="24"/>
              </w:rPr>
            </w:pPr>
            <w:r>
              <w:rPr>
                <w:rFonts w:hint="eastAsia" w:ascii="宋体" w:hAnsi="宋体" w:cs="宋体"/>
                <w:sz w:val="24"/>
                <w:szCs w:val="24"/>
              </w:rPr>
              <w:t>客观分</w:t>
            </w:r>
          </w:p>
        </w:tc>
      </w:tr>
      <w:tr w14:paraId="3A28319F">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310" w:hRule="atLeast"/>
        </w:trPr>
        <w:tc>
          <w:tcPr>
            <w:tcW w:w="254" w:type="pct"/>
            <w:tcBorders>
              <w:top w:val="single" w:color="auto" w:sz="4" w:space="0"/>
              <w:left w:val="single" w:color="auto" w:sz="8" w:space="0"/>
              <w:right w:val="single" w:color="auto" w:sz="4" w:space="0"/>
            </w:tcBorders>
            <w:vAlign w:val="center"/>
          </w:tcPr>
          <w:p w14:paraId="54A9118E">
            <w:pPr>
              <w:adjustRightInd w:val="0"/>
              <w:snapToGrid w:val="0"/>
              <w:jc w:val="center"/>
              <w:rPr>
                <w:rFonts w:hint="eastAsia" w:ascii="宋体" w:hAnsi="宋体" w:cs="宋体"/>
                <w:sz w:val="24"/>
                <w:szCs w:val="24"/>
              </w:rPr>
            </w:pPr>
            <w:r>
              <w:rPr>
                <w:rFonts w:hint="eastAsia" w:ascii="宋体" w:hAnsi="宋体" w:cs="宋体"/>
                <w:sz w:val="24"/>
                <w:szCs w:val="24"/>
              </w:rPr>
              <w:t>7</w:t>
            </w:r>
          </w:p>
        </w:tc>
        <w:tc>
          <w:tcPr>
            <w:tcW w:w="371" w:type="pct"/>
            <w:tcBorders>
              <w:top w:val="single" w:color="auto" w:sz="4" w:space="0"/>
              <w:left w:val="single" w:color="auto" w:sz="4" w:space="0"/>
              <w:right w:val="single" w:color="auto" w:sz="4" w:space="0"/>
            </w:tcBorders>
            <w:vAlign w:val="center"/>
          </w:tcPr>
          <w:p w14:paraId="75134787">
            <w:pPr>
              <w:autoSpaceDE w:val="0"/>
              <w:autoSpaceDN w:val="0"/>
              <w:adjustRightInd w:val="0"/>
              <w:jc w:val="center"/>
              <w:rPr>
                <w:rFonts w:hint="eastAsia" w:ascii="宋体" w:hAnsi="宋体" w:cs="宋体"/>
                <w:color w:val="000000"/>
                <w:kern w:val="0"/>
                <w:sz w:val="24"/>
                <w:szCs w:val="24"/>
                <w:lang w:bidi="ar"/>
              </w:rPr>
            </w:pPr>
            <w:r>
              <w:rPr>
                <w:rFonts w:hint="eastAsia" w:ascii="宋体" w:hAnsi="宋体" w:cs="宋体"/>
                <w:color w:val="000000"/>
                <w:kern w:val="0"/>
                <w:sz w:val="24"/>
                <w:szCs w:val="24"/>
                <w:lang w:bidi="ar"/>
              </w:rPr>
              <w:t>技术</w:t>
            </w:r>
          </w:p>
        </w:tc>
        <w:tc>
          <w:tcPr>
            <w:tcW w:w="3302" w:type="pct"/>
            <w:tcBorders>
              <w:top w:val="single" w:color="auto" w:sz="4" w:space="0"/>
              <w:left w:val="single" w:color="auto" w:sz="4" w:space="0"/>
              <w:bottom w:val="single" w:color="auto" w:sz="4" w:space="0"/>
              <w:right w:val="single" w:color="auto" w:sz="4" w:space="0"/>
            </w:tcBorders>
          </w:tcPr>
          <w:p w14:paraId="7FAC092A">
            <w:pPr>
              <w:widowControl/>
              <w:jc w:val="left"/>
              <w:textAlignment w:val="center"/>
              <w:rPr>
                <w:rFonts w:hint="eastAsia" w:ascii="宋体" w:hAnsi="宋体" w:cs="宋体"/>
                <w:color w:val="000000"/>
                <w:kern w:val="0"/>
                <w:sz w:val="24"/>
                <w:szCs w:val="24"/>
                <w:lang w:bidi="ar"/>
              </w:rPr>
            </w:pPr>
            <w:r>
              <w:rPr>
                <w:rFonts w:hint="eastAsia" w:ascii="宋体" w:hAnsi="宋体" w:cs="宋体"/>
                <w:color w:val="000000"/>
                <w:kern w:val="0"/>
                <w:sz w:val="24"/>
                <w:szCs w:val="24"/>
                <w:lang w:bidi="ar"/>
              </w:rPr>
              <w:t>新能源汽车驱动控制实训台智能化教学系统</w:t>
            </w:r>
          </w:p>
          <w:p w14:paraId="05E88BAB">
            <w:pPr>
              <w:widowControl/>
              <w:jc w:val="left"/>
              <w:textAlignment w:val="center"/>
              <w:rPr>
                <w:rFonts w:hint="eastAsia" w:ascii="宋体" w:hAnsi="宋体" w:cs="宋体"/>
                <w:kern w:val="0"/>
                <w:sz w:val="24"/>
                <w:szCs w:val="24"/>
                <w:lang w:bidi="ar"/>
              </w:rPr>
            </w:pPr>
            <w:r>
              <w:rPr>
                <w:rFonts w:hint="eastAsia" w:ascii="宋体" w:hAnsi="宋体" w:cs="宋体"/>
                <w:kern w:val="0"/>
                <w:sz w:val="24"/>
                <w:szCs w:val="24"/>
                <w:lang w:bidi="ar"/>
              </w:rPr>
              <w:t>一、</w:t>
            </w:r>
            <w:r>
              <w:rPr>
                <w:rFonts w:hint="eastAsia" w:ascii="宋体" w:hAnsi="宋体" w:cs="宋体"/>
                <w:color w:val="000000"/>
                <w:kern w:val="0"/>
                <w:sz w:val="24"/>
                <w:szCs w:val="24"/>
                <w:lang w:bidi="ar"/>
              </w:rPr>
              <w:t>新能源汽车驱动控制实训台实训指导书</w:t>
            </w:r>
          </w:p>
          <w:p w14:paraId="4542D8E4">
            <w:pPr>
              <w:widowControl/>
              <w:jc w:val="left"/>
              <w:textAlignment w:val="center"/>
              <w:rPr>
                <w:rFonts w:hint="eastAsia" w:ascii="宋体" w:hAnsi="宋体" w:cs="宋体"/>
                <w:kern w:val="0"/>
                <w:sz w:val="24"/>
                <w:szCs w:val="24"/>
                <w:lang w:bidi="ar"/>
              </w:rPr>
            </w:pPr>
            <w:r>
              <w:rPr>
                <w:rFonts w:hint="eastAsia" w:ascii="宋体" w:hAnsi="宋体" w:cs="宋体"/>
                <w:color w:val="000000"/>
                <w:kern w:val="0"/>
                <w:sz w:val="24"/>
                <w:szCs w:val="24"/>
                <w:lang w:bidi="ar"/>
              </w:rPr>
              <w:t>1、章节最后的自测题可以帮助学生巩固课上所学习的内容，并对课上的重难点内容进行复习，形成课前预习-课上学习-课后复习的完整的学习链。</w:t>
            </w:r>
            <w:r>
              <w:rPr>
                <w:rFonts w:hint="eastAsia" w:ascii="宋体" w:hAnsi="宋体" w:cs="宋体"/>
                <w:b/>
                <w:bCs/>
                <w:kern w:val="0"/>
                <w:sz w:val="24"/>
                <w:szCs w:val="24"/>
              </w:rPr>
              <w:t>（投标文件中需提供其中5章节实训项目学习任务目录及课程内容功能截图并加盖投标人公章）</w:t>
            </w:r>
            <w:r>
              <w:rPr>
                <w:rFonts w:hint="eastAsia" w:ascii="宋体" w:hAnsi="宋体" w:cs="宋体"/>
                <w:b/>
                <w:bCs/>
                <w:kern w:val="0"/>
                <w:sz w:val="24"/>
                <w:szCs w:val="24"/>
                <w:lang w:bidi="ar"/>
              </w:rPr>
              <w:t>提供得1分，不提供不得分。</w:t>
            </w:r>
          </w:p>
        </w:tc>
        <w:tc>
          <w:tcPr>
            <w:tcW w:w="525" w:type="pct"/>
            <w:tcBorders>
              <w:top w:val="single" w:color="auto" w:sz="4" w:space="0"/>
              <w:left w:val="single" w:color="auto" w:sz="4" w:space="0"/>
              <w:bottom w:val="single" w:color="auto" w:sz="4" w:space="0"/>
              <w:right w:val="single" w:color="auto" w:sz="4" w:space="0"/>
            </w:tcBorders>
            <w:vAlign w:val="center"/>
          </w:tcPr>
          <w:p w14:paraId="30877E64">
            <w:pPr>
              <w:pStyle w:val="3"/>
              <w:spacing w:before="0" w:after="0" w:line="240" w:lineRule="auto"/>
              <w:jc w:val="center"/>
              <w:rPr>
                <w:rFonts w:hint="eastAsia" w:ascii="宋体" w:hAnsi="宋体" w:eastAsia="宋体" w:cs="宋体"/>
                <w:b w:val="0"/>
                <w:bCs w:val="0"/>
                <w:sz w:val="24"/>
                <w:szCs w:val="24"/>
              </w:rPr>
            </w:pPr>
            <w:r>
              <w:rPr>
                <w:rFonts w:hint="eastAsia" w:ascii="宋体" w:hAnsi="宋体" w:eastAsia="宋体" w:cs="宋体"/>
                <w:b w:val="0"/>
                <w:bCs w:val="0"/>
                <w:sz w:val="24"/>
                <w:szCs w:val="24"/>
              </w:rPr>
              <w:t>0-1分</w:t>
            </w:r>
          </w:p>
        </w:tc>
        <w:tc>
          <w:tcPr>
            <w:tcW w:w="548" w:type="pct"/>
            <w:tcBorders>
              <w:top w:val="single" w:color="auto" w:sz="4" w:space="0"/>
              <w:left w:val="single" w:color="auto" w:sz="4" w:space="0"/>
              <w:bottom w:val="single" w:color="auto" w:sz="4" w:space="0"/>
              <w:right w:val="single" w:color="auto" w:sz="8" w:space="0"/>
            </w:tcBorders>
            <w:vAlign w:val="center"/>
          </w:tcPr>
          <w:p w14:paraId="59089AD1">
            <w:pPr>
              <w:jc w:val="center"/>
              <w:rPr>
                <w:rFonts w:hint="eastAsia" w:ascii="宋体" w:hAnsi="宋体" w:cs="宋体"/>
                <w:sz w:val="24"/>
                <w:szCs w:val="24"/>
              </w:rPr>
            </w:pPr>
            <w:r>
              <w:rPr>
                <w:rFonts w:hint="eastAsia" w:ascii="宋体" w:hAnsi="宋体" w:cs="宋体"/>
                <w:sz w:val="24"/>
                <w:szCs w:val="24"/>
              </w:rPr>
              <w:t>客观分</w:t>
            </w:r>
          </w:p>
        </w:tc>
      </w:tr>
      <w:tr w14:paraId="79A41B1A">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310" w:hRule="atLeast"/>
        </w:trPr>
        <w:tc>
          <w:tcPr>
            <w:tcW w:w="254" w:type="pct"/>
            <w:tcBorders>
              <w:top w:val="single" w:color="auto" w:sz="4" w:space="0"/>
              <w:left w:val="single" w:color="auto" w:sz="8" w:space="0"/>
              <w:right w:val="single" w:color="auto" w:sz="4" w:space="0"/>
            </w:tcBorders>
            <w:vAlign w:val="center"/>
          </w:tcPr>
          <w:p w14:paraId="3304779B">
            <w:pPr>
              <w:adjustRightInd w:val="0"/>
              <w:snapToGrid w:val="0"/>
              <w:jc w:val="center"/>
              <w:rPr>
                <w:rFonts w:hint="eastAsia" w:ascii="宋体" w:hAnsi="宋体" w:cs="宋体"/>
                <w:sz w:val="24"/>
                <w:szCs w:val="24"/>
              </w:rPr>
            </w:pPr>
            <w:r>
              <w:rPr>
                <w:rFonts w:hint="eastAsia" w:ascii="宋体" w:hAnsi="宋体" w:cs="宋体"/>
                <w:sz w:val="24"/>
                <w:szCs w:val="24"/>
              </w:rPr>
              <w:t>8</w:t>
            </w:r>
          </w:p>
        </w:tc>
        <w:tc>
          <w:tcPr>
            <w:tcW w:w="371" w:type="pct"/>
            <w:tcBorders>
              <w:top w:val="single" w:color="auto" w:sz="4" w:space="0"/>
              <w:left w:val="single" w:color="auto" w:sz="4" w:space="0"/>
              <w:right w:val="single" w:color="auto" w:sz="4" w:space="0"/>
            </w:tcBorders>
            <w:vAlign w:val="center"/>
          </w:tcPr>
          <w:p w14:paraId="4D6D3CCA">
            <w:pPr>
              <w:autoSpaceDE w:val="0"/>
              <w:autoSpaceDN w:val="0"/>
              <w:adjustRightInd w:val="0"/>
              <w:jc w:val="center"/>
              <w:rPr>
                <w:rFonts w:hint="eastAsia" w:ascii="宋体" w:hAnsi="宋体" w:cs="宋体"/>
                <w:color w:val="000000"/>
                <w:kern w:val="0"/>
                <w:sz w:val="24"/>
                <w:szCs w:val="24"/>
                <w:lang w:bidi="ar"/>
              </w:rPr>
            </w:pPr>
            <w:r>
              <w:rPr>
                <w:rFonts w:hint="eastAsia" w:ascii="宋体" w:hAnsi="宋体" w:cs="宋体"/>
                <w:color w:val="000000"/>
                <w:kern w:val="0"/>
                <w:sz w:val="24"/>
                <w:szCs w:val="24"/>
                <w:lang w:bidi="ar"/>
              </w:rPr>
              <w:t>技术</w:t>
            </w:r>
          </w:p>
        </w:tc>
        <w:tc>
          <w:tcPr>
            <w:tcW w:w="3302" w:type="pct"/>
            <w:tcBorders>
              <w:top w:val="single" w:color="auto" w:sz="4" w:space="0"/>
              <w:left w:val="single" w:color="auto" w:sz="4" w:space="0"/>
              <w:bottom w:val="single" w:color="auto" w:sz="4" w:space="0"/>
              <w:right w:val="single" w:color="auto" w:sz="4" w:space="0"/>
            </w:tcBorders>
            <w:shd w:val="clear" w:color="auto" w:fill="auto"/>
            <w:vAlign w:val="center"/>
          </w:tcPr>
          <w:p w14:paraId="72C1F629">
            <w:pPr>
              <w:widowControl/>
              <w:jc w:val="left"/>
              <w:textAlignment w:val="center"/>
              <w:rPr>
                <w:rFonts w:hint="eastAsia" w:ascii="宋体" w:hAnsi="宋体" w:cs="宋体"/>
                <w:color w:val="000000"/>
                <w:kern w:val="0"/>
                <w:sz w:val="24"/>
                <w:szCs w:val="24"/>
                <w:lang w:bidi="ar"/>
              </w:rPr>
            </w:pPr>
            <w:r>
              <w:rPr>
                <w:rFonts w:hint="eastAsia" w:ascii="宋体" w:hAnsi="宋体" w:cs="宋体"/>
                <w:color w:val="000000"/>
                <w:kern w:val="0"/>
                <w:sz w:val="24"/>
                <w:szCs w:val="24"/>
                <w:lang w:bidi="ar"/>
              </w:rPr>
              <w:t>纯电动汽车制动能量回收系统示教板</w:t>
            </w:r>
          </w:p>
          <w:p w14:paraId="160D6880">
            <w:pPr>
              <w:widowControl/>
              <w:jc w:val="left"/>
              <w:textAlignment w:val="center"/>
              <w:rPr>
                <w:rFonts w:hint="eastAsia" w:ascii="宋体" w:hAnsi="宋体" w:cs="宋体"/>
                <w:color w:val="000000"/>
                <w:sz w:val="24"/>
                <w:szCs w:val="24"/>
              </w:rPr>
            </w:pPr>
            <w:r>
              <w:rPr>
                <w:rFonts w:hint="eastAsia" w:ascii="宋体" w:hAnsi="宋体" w:cs="宋体"/>
                <w:sz w:val="24"/>
                <w:szCs w:val="24"/>
              </w:rPr>
              <w:t>1.该设备完整展示了纯电动汽车驱动能量输出与制动能量回收的工作基本原理，可动态模拟纯电动汽车驱动能量输出与制动能量回收在不同工况下的运行状态。</w:t>
            </w:r>
            <w:r>
              <w:rPr>
                <w:rFonts w:hint="eastAsia" w:ascii="宋体" w:hAnsi="宋体" w:cs="宋体"/>
                <w:b/>
                <w:bCs/>
                <w:kern w:val="0"/>
                <w:sz w:val="24"/>
                <w:szCs w:val="24"/>
                <w:lang w:bidi="ar"/>
              </w:rPr>
              <w:t>（</w:t>
            </w:r>
            <w:r>
              <w:rPr>
                <w:rFonts w:hint="eastAsia" w:ascii="宋体" w:hAnsi="宋体" w:cs="宋体"/>
                <w:b/>
                <w:bCs/>
                <w:sz w:val="24"/>
                <w:szCs w:val="24"/>
              </w:rPr>
              <w:t>投标文件中需</w:t>
            </w:r>
            <w:r>
              <w:rPr>
                <w:rFonts w:hint="eastAsia" w:ascii="宋体" w:hAnsi="宋体" w:cs="宋体"/>
                <w:b/>
                <w:bCs/>
                <w:kern w:val="0"/>
                <w:sz w:val="24"/>
                <w:szCs w:val="24"/>
                <w:lang w:bidi="ar"/>
              </w:rPr>
              <w:t>提供动态模拟驱动能量输出与制动能量回收的功能演示截图）</w:t>
            </w:r>
            <w:r>
              <w:rPr>
                <w:rFonts w:hint="eastAsia" w:ascii="宋体" w:hAnsi="宋体" w:cs="宋体"/>
                <w:b/>
                <w:bCs/>
                <w:color w:val="000000"/>
                <w:kern w:val="0"/>
                <w:sz w:val="24"/>
                <w:szCs w:val="24"/>
                <w:lang w:bidi="ar"/>
              </w:rPr>
              <w:t>，</w:t>
            </w:r>
            <w:r>
              <w:rPr>
                <w:rFonts w:hint="eastAsia" w:ascii="宋体" w:hAnsi="宋体" w:cs="宋体"/>
                <w:b/>
                <w:bCs/>
                <w:sz w:val="24"/>
                <w:szCs w:val="24"/>
              </w:rPr>
              <w:t>提供符合要求的得1分，不提供不得分。</w:t>
            </w:r>
          </w:p>
        </w:tc>
        <w:tc>
          <w:tcPr>
            <w:tcW w:w="525" w:type="pct"/>
            <w:tcBorders>
              <w:top w:val="single" w:color="auto" w:sz="4" w:space="0"/>
              <w:left w:val="single" w:color="auto" w:sz="4" w:space="0"/>
              <w:bottom w:val="single" w:color="auto" w:sz="4" w:space="0"/>
              <w:right w:val="single" w:color="auto" w:sz="4" w:space="0"/>
            </w:tcBorders>
            <w:vAlign w:val="center"/>
          </w:tcPr>
          <w:p w14:paraId="1B6EB5AB">
            <w:pPr>
              <w:pStyle w:val="3"/>
              <w:spacing w:before="0" w:after="0" w:line="240" w:lineRule="auto"/>
              <w:jc w:val="center"/>
              <w:rPr>
                <w:rFonts w:hint="eastAsia" w:ascii="宋体" w:hAnsi="宋体" w:eastAsia="宋体" w:cs="宋体"/>
                <w:b w:val="0"/>
                <w:bCs w:val="0"/>
                <w:sz w:val="24"/>
                <w:szCs w:val="24"/>
              </w:rPr>
            </w:pPr>
            <w:r>
              <w:rPr>
                <w:rFonts w:hint="eastAsia" w:ascii="宋体" w:hAnsi="宋体" w:eastAsia="宋体" w:cs="宋体"/>
                <w:b w:val="0"/>
                <w:bCs w:val="0"/>
                <w:sz w:val="24"/>
                <w:szCs w:val="24"/>
              </w:rPr>
              <w:t>0-1分</w:t>
            </w:r>
          </w:p>
        </w:tc>
        <w:tc>
          <w:tcPr>
            <w:tcW w:w="548" w:type="pct"/>
            <w:tcBorders>
              <w:top w:val="single" w:color="auto" w:sz="4" w:space="0"/>
              <w:left w:val="single" w:color="auto" w:sz="4" w:space="0"/>
              <w:bottom w:val="single" w:color="auto" w:sz="4" w:space="0"/>
              <w:right w:val="single" w:color="auto" w:sz="8" w:space="0"/>
            </w:tcBorders>
            <w:vAlign w:val="center"/>
          </w:tcPr>
          <w:p w14:paraId="013C1952">
            <w:pPr>
              <w:jc w:val="center"/>
              <w:rPr>
                <w:rFonts w:hint="eastAsia" w:ascii="宋体" w:hAnsi="宋体" w:cs="宋体"/>
                <w:sz w:val="24"/>
                <w:szCs w:val="24"/>
              </w:rPr>
            </w:pPr>
            <w:r>
              <w:rPr>
                <w:rFonts w:hint="eastAsia" w:ascii="宋体" w:hAnsi="宋体" w:cs="宋体"/>
                <w:sz w:val="24"/>
                <w:szCs w:val="24"/>
              </w:rPr>
              <w:t>客观分</w:t>
            </w:r>
          </w:p>
        </w:tc>
      </w:tr>
      <w:tr w14:paraId="22C69D81">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310" w:hRule="atLeast"/>
        </w:trPr>
        <w:tc>
          <w:tcPr>
            <w:tcW w:w="254" w:type="pct"/>
            <w:tcBorders>
              <w:top w:val="single" w:color="auto" w:sz="4" w:space="0"/>
              <w:left w:val="single" w:color="auto" w:sz="8" w:space="0"/>
              <w:right w:val="single" w:color="auto" w:sz="4" w:space="0"/>
            </w:tcBorders>
            <w:vAlign w:val="center"/>
          </w:tcPr>
          <w:p w14:paraId="27B0BD1E">
            <w:pPr>
              <w:adjustRightInd w:val="0"/>
              <w:snapToGrid w:val="0"/>
              <w:jc w:val="center"/>
              <w:rPr>
                <w:rFonts w:hint="eastAsia" w:ascii="宋体" w:hAnsi="宋体" w:cs="宋体"/>
                <w:sz w:val="24"/>
                <w:szCs w:val="24"/>
              </w:rPr>
            </w:pPr>
            <w:r>
              <w:rPr>
                <w:rFonts w:hint="eastAsia" w:ascii="宋体" w:hAnsi="宋体" w:cs="宋体"/>
                <w:sz w:val="24"/>
                <w:szCs w:val="24"/>
              </w:rPr>
              <w:t>9</w:t>
            </w:r>
          </w:p>
        </w:tc>
        <w:tc>
          <w:tcPr>
            <w:tcW w:w="371" w:type="pct"/>
            <w:tcBorders>
              <w:top w:val="single" w:color="auto" w:sz="4" w:space="0"/>
              <w:left w:val="single" w:color="auto" w:sz="4" w:space="0"/>
              <w:right w:val="single" w:color="auto" w:sz="4" w:space="0"/>
            </w:tcBorders>
            <w:vAlign w:val="center"/>
          </w:tcPr>
          <w:p w14:paraId="4253F2E7">
            <w:pPr>
              <w:autoSpaceDE w:val="0"/>
              <w:autoSpaceDN w:val="0"/>
              <w:adjustRightInd w:val="0"/>
              <w:jc w:val="center"/>
              <w:rPr>
                <w:rFonts w:hint="eastAsia" w:ascii="宋体" w:hAnsi="宋体" w:cs="宋体"/>
                <w:color w:val="000000"/>
                <w:kern w:val="0"/>
                <w:sz w:val="24"/>
                <w:szCs w:val="24"/>
                <w:lang w:bidi="ar"/>
              </w:rPr>
            </w:pPr>
            <w:r>
              <w:rPr>
                <w:rFonts w:hint="eastAsia" w:ascii="宋体" w:hAnsi="宋体" w:cs="宋体"/>
                <w:color w:val="000000"/>
                <w:kern w:val="0"/>
                <w:sz w:val="24"/>
                <w:szCs w:val="24"/>
                <w:lang w:bidi="ar"/>
              </w:rPr>
              <w:t>技术</w:t>
            </w:r>
          </w:p>
        </w:tc>
        <w:tc>
          <w:tcPr>
            <w:tcW w:w="3302" w:type="pct"/>
            <w:tcBorders>
              <w:top w:val="single" w:color="auto" w:sz="4" w:space="0"/>
              <w:left w:val="single" w:color="auto" w:sz="4" w:space="0"/>
              <w:bottom w:val="single" w:color="auto" w:sz="4" w:space="0"/>
              <w:right w:val="single" w:color="auto" w:sz="4" w:space="0"/>
            </w:tcBorders>
          </w:tcPr>
          <w:p w14:paraId="299A5AF1">
            <w:pPr>
              <w:widowControl/>
              <w:jc w:val="left"/>
              <w:textAlignment w:val="center"/>
              <w:rPr>
                <w:rFonts w:hint="eastAsia" w:ascii="宋体" w:hAnsi="宋体" w:cs="宋体"/>
                <w:color w:val="000000"/>
                <w:kern w:val="0"/>
                <w:sz w:val="24"/>
                <w:szCs w:val="24"/>
                <w:lang w:bidi="ar"/>
              </w:rPr>
            </w:pPr>
            <w:r>
              <w:rPr>
                <w:rFonts w:hint="eastAsia" w:ascii="宋体" w:hAnsi="宋体" w:cs="宋体"/>
                <w:color w:val="000000"/>
                <w:kern w:val="0"/>
                <w:sz w:val="24"/>
                <w:szCs w:val="24"/>
                <w:lang w:bidi="ar"/>
              </w:rPr>
              <w:t>插电式混合动力汽车电池管理实训教学系统</w:t>
            </w:r>
          </w:p>
          <w:p w14:paraId="219F8CEB">
            <w:pPr>
              <w:widowControl/>
              <w:jc w:val="left"/>
              <w:textAlignment w:val="center"/>
              <w:rPr>
                <w:rFonts w:hint="eastAsia" w:ascii="宋体" w:hAnsi="宋体" w:cs="宋体"/>
                <w:kern w:val="0"/>
                <w:sz w:val="24"/>
                <w:szCs w:val="24"/>
                <w:lang w:bidi="ar"/>
              </w:rPr>
            </w:pPr>
            <w:r>
              <w:rPr>
                <w:rFonts w:hint="eastAsia" w:ascii="宋体" w:hAnsi="宋体" w:cs="宋体"/>
                <w:sz w:val="24"/>
                <w:szCs w:val="24"/>
              </w:rPr>
              <w:t>1.《混合动力汽车结构与原理》了解混合动力汽车组成、分类及相关工作原理， 掌握混合动力汽车相关系统部件的技术状况检测，能够对常见各大品牌混合动力汽车故障进行修复。</w:t>
            </w:r>
            <w:r>
              <w:rPr>
                <w:rFonts w:hint="eastAsia" w:ascii="宋体" w:hAnsi="宋体" w:cs="宋体"/>
                <w:b/>
                <w:bCs/>
                <w:kern w:val="0"/>
                <w:sz w:val="24"/>
                <w:szCs w:val="24"/>
                <w:lang w:bidi="ar"/>
              </w:rPr>
              <w:t>（投标文件中需提供教材目录及4个内容页并加盖投标人公章），提供得1分，不提供不得分。</w:t>
            </w:r>
          </w:p>
        </w:tc>
        <w:tc>
          <w:tcPr>
            <w:tcW w:w="525" w:type="pct"/>
            <w:tcBorders>
              <w:top w:val="single" w:color="auto" w:sz="4" w:space="0"/>
              <w:left w:val="single" w:color="auto" w:sz="4" w:space="0"/>
              <w:bottom w:val="single" w:color="auto" w:sz="4" w:space="0"/>
              <w:right w:val="single" w:color="auto" w:sz="4" w:space="0"/>
            </w:tcBorders>
            <w:vAlign w:val="center"/>
          </w:tcPr>
          <w:p w14:paraId="00EDE426">
            <w:pPr>
              <w:pStyle w:val="3"/>
              <w:spacing w:before="0" w:after="0" w:line="240" w:lineRule="auto"/>
              <w:jc w:val="center"/>
              <w:rPr>
                <w:rFonts w:hint="eastAsia" w:ascii="宋体" w:hAnsi="宋体" w:eastAsia="宋体" w:cs="宋体"/>
                <w:b w:val="0"/>
                <w:bCs w:val="0"/>
                <w:sz w:val="24"/>
                <w:szCs w:val="24"/>
              </w:rPr>
            </w:pPr>
            <w:r>
              <w:rPr>
                <w:rFonts w:hint="eastAsia" w:ascii="宋体" w:hAnsi="宋体" w:eastAsia="宋体" w:cs="宋体"/>
                <w:b w:val="0"/>
                <w:bCs w:val="0"/>
                <w:sz w:val="24"/>
                <w:szCs w:val="24"/>
              </w:rPr>
              <w:t>0-1分</w:t>
            </w:r>
          </w:p>
        </w:tc>
        <w:tc>
          <w:tcPr>
            <w:tcW w:w="548" w:type="pct"/>
            <w:tcBorders>
              <w:top w:val="single" w:color="auto" w:sz="4" w:space="0"/>
              <w:left w:val="single" w:color="auto" w:sz="4" w:space="0"/>
              <w:bottom w:val="single" w:color="auto" w:sz="4" w:space="0"/>
              <w:right w:val="single" w:color="auto" w:sz="8" w:space="0"/>
            </w:tcBorders>
            <w:vAlign w:val="center"/>
          </w:tcPr>
          <w:p w14:paraId="415631F0">
            <w:pPr>
              <w:jc w:val="center"/>
              <w:rPr>
                <w:rFonts w:hint="eastAsia" w:ascii="宋体" w:hAnsi="宋体" w:cs="宋体"/>
                <w:sz w:val="24"/>
                <w:szCs w:val="24"/>
              </w:rPr>
            </w:pPr>
            <w:r>
              <w:rPr>
                <w:rFonts w:hint="eastAsia" w:ascii="宋体" w:hAnsi="宋体" w:cs="宋体"/>
                <w:sz w:val="24"/>
                <w:szCs w:val="24"/>
              </w:rPr>
              <w:t>客观分</w:t>
            </w:r>
          </w:p>
        </w:tc>
      </w:tr>
      <w:tr w14:paraId="59388667">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310" w:hRule="atLeast"/>
        </w:trPr>
        <w:tc>
          <w:tcPr>
            <w:tcW w:w="254" w:type="pct"/>
            <w:tcBorders>
              <w:top w:val="single" w:color="auto" w:sz="4" w:space="0"/>
              <w:left w:val="single" w:color="auto" w:sz="8" w:space="0"/>
              <w:right w:val="single" w:color="auto" w:sz="4" w:space="0"/>
            </w:tcBorders>
            <w:vAlign w:val="center"/>
          </w:tcPr>
          <w:p w14:paraId="38953096">
            <w:pPr>
              <w:adjustRightInd w:val="0"/>
              <w:snapToGrid w:val="0"/>
              <w:jc w:val="center"/>
              <w:rPr>
                <w:rFonts w:hint="eastAsia" w:ascii="宋体" w:hAnsi="宋体" w:cs="宋体"/>
                <w:sz w:val="24"/>
                <w:szCs w:val="24"/>
              </w:rPr>
            </w:pPr>
            <w:r>
              <w:rPr>
                <w:rFonts w:hint="eastAsia" w:ascii="宋体" w:hAnsi="宋体" w:cs="宋体"/>
                <w:sz w:val="24"/>
                <w:szCs w:val="24"/>
              </w:rPr>
              <w:t>10</w:t>
            </w:r>
          </w:p>
        </w:tc>
        <w:tc>
          <w:tcPr>
            <w:tcW w:w="371" w:type="pct"/>
            <w:tcBorders>
              <w:top w:val="single" w:color="auto" w:sz="4" w:space="0"/>
              <w:left w:val="single" w:color="auto" w:sz="4" w:space="0"/>
              <w:right w:val="single" w:color="auto" w:sz="4" w:space="0"/>
            </w:tcBorders>
            <w:vAlign w:val="center"/>
          </w:tcPr>
          <w:p w14:paraId="4E75B259">
            <w:pPr>
              <w:autoSpaceDE w:val="0"/>
              <w:autoSpaceDN w:val="0"/>
              <w:adjustRightInd w:val="0"/>
              <w:jc w:val="center"/>
              <w:rPr>
                <w:rFonts w:hint="eastAsia" w:ascii="宋体" w:hAnsi="宋体" w:cs="宋体"/>
                <w:color w:val="000000"/>
                <w:kern w:val="0"/>
                <w:sz w:val="24"/>
                <w:szCs w:val="24"/>
                <w:lang w:bidi="ar"/>
              </w:rPr>
            </w:pPr>
            <w:r>
              <w:rPr>
                <w:rFonts w:hint="eastAsia" w:ascii="宋体" w:hAnsi="宋体" w:cs="宋体"/>
                <w:color w:val="000000"/>
                <w:kern w:val="0"/>
                <w:sz w:val="24"/>
                <w:szCs w:val="24"/>
                <w:lang w:bidi="ar"/>
              </w:rPr>
              <w:t>技术</w:t>
            </w:r>
          </w:p>
        </w:tc>
        <w:tc>
          <w:tcPr>
            <w:tcW w:w="3302" w:type="pct"/>
            <w:tcBorders>
              <w:top w:val="single" w:color="auto" w:sz="4" w:space="0"/>
              <w:left w:val="single" w:color="auto" w:sz="4" w:space="0"/>
              <w:bottom w:val="single" w:color="auto" w:sz="4" w:space="0"/>
              <w:right w:val="single" w:color="auto" w:sz="4" w:space="0"/>
            </w:tcBorders>
            <w:shd w:val="clear" w:color="auto" w:fill="auto"/>
            <w:vAlign w:val="center"/>
          </w:tcPr>
          <w:p w14:paraId="1447E198">
            <w:pPr>
              <w:rPr>
                <w:rFonts w:hint="eastAsia" w:ascii="宋体" w:hAnsi="宋体" w:cs="宋体"/>
                <w:color w:val="000000"/>
                <w:kern w:val="0"/>
                <w:sz w:val="24"/>
                <w:szCs w:val="24"/>
                <w:lang w:bidi="ar"/>
              </w:rPr>
            </w:pPr>
            <w:r>
              <w:rPr>
                <w:rFonts w:hint="eastAsia" w:ascii="宋体" w:hAnsi="宋体" w:cs="宋体"/>
                <w:color w:val="000000"/>
                <w:kern w:val="0"/>
                <w:sz w:val="24"/>
                <w:szCs w:val="24"/>
                <w:lang w:bidi="ar"/>
              </w:rPr>
              <w:t>插电式混合动力汽车驱动电机控制实训教学系统</w:t>
            </w:r>
          </w:p>
          <w:p w14:paraId="24A62EDB">
            <w:pPr>
              <w:rPr>
                <w:rFonts w:hint="eastAsia" w:ascii="宋体" w:hAnsi="宋体" w:cs="宋体"/>
                <w:sz w:val="24"/>
                <w:szCs w:val="24"/>
              </w:rPr>
            </w:pPr>
            <w:r>
              <w:rPr>
                <w:rFonts w:hint="eastAsia" w:ascii="宋体" w:hAnsi="宋体" w:cs="宋体"/>
                <w:sz w:val="24"/>
                <w:szCs w:val="24"/>
              </w:rPr>
              <w:t>1.整体台架采用哑光黑色3mm厚ABS吸塑包裹工艺结构美观大方、有足够的机械强度，整体高度1050mm宽1406mm长560mm吸塑R角处可一保证最小厚度大于2mm。</w:t>
            </w:r>
          </w:p>
          <w:p w14:paraId="16604899">
            <w:pPr>
              <w:rPr>
                <w:rFonts w:hint="eastAsia" w:ascii="宋体" w:hAnsi="宋体" w:cs="宋体"/>
                <w:b/>
                <w:bCs/>
                <w:sz w:val="24"/>
                <w:szCs w:val="24"/>
              </w:rPr>
            </w:pPr>
            <w:r>
              <w:rPr>
                <w:rFonts w:hint="eastAsia" w:ascii="宋体" w:hAnsi="宋体" w:cs="宋体"/>
                <w:sz w:val="24"/>
                <w:szCs w:val="24"/>
              </w:rPr>
              <w:t>操控面板采用黑色哑光3mm厚ABS吸塑一次成型，外部尺寸长1200mm宽520mm高131mm，中间操控板安装位置尺寸长1086mm宽406mm，边角R为5mm拔模角度5°，吸塑操控面板上面边缘设有11mm高一字型流线装饰条纹凹凸别致美观大方。操控面板吸塑内部配置高强度钢骨架，用于与吸塑立柱连接并固定操控面板。</w:t>
            </w:r>
            <w:r>
              <w:rPr>
                <w:rFonts w:hint="eastAsia" w:ascii="宋体" w:hAnsi="宋体" w:cs="宋体"/>
                <w:b/>
                <w:bCs/>
                <w:sz w:val="24"/>
                <w:szCs w:val="24"/>
              </w:rPr>
              <w:t>（投标文件中需提供第三方权威机构出具的产品检测报告复印件并加盖投标人公章），提供得2分，不提供不得分。</w:t>
            </w:r>
          </w:p>
          <w:p w14:paraId="06CDE28A">
            <w:pPr>
              <w:pStyle w:val="83"/>
              <w:spacing w:line="240" w:lineRule="auto"/>
              <w:rPr>
                <w:rFonts w:ascii="宋体" w:hAnsi="宋体" w:eastAsia="宋体" w:cs="宋体"/>
                <w:szCs w:val="24"/>
              </w:rPr>
            </w:pPr>
            <w:r>
              <w:rPr>
                <w:rFonts w:ascii="宋体" w:hAnsi="宋体" w:eastAsia="宋体" w:cs="宋体"/>
                <w:color w:val="auto"/>
                <w:szCs w:val="24"/>
              </w:rPr>
              <w:t>2.软件功能包括正常模式和基本模式，正常模式包括起步工况、正常行驶工况、加速行驶工况、高速行驶工况、电池低电工况。基础模式包含纯电驱动、纯油驱动、油电混合驱动。在原车总成三维模型的基础上，制作3D动画演示以上工作模式，并配文字说明各个工况运行过程</w:t>
            </w:r>
            <w:r>
              <w:rPr>
                <w:rFonts w:ascii="宋体" w:hAnsi="宋体" w:eastAsia="宋体" w:cs="宋体"/>
                <w:szCs w:val="24"/>
              </w:rPr>
              <w:t>。</w:t>
            </w:r>
            <w:r>
              <w:rPr>
                <w:rFonts w:ascii="宋体" w:hAnsi="宋体" w:eastAsia="宋体" w:cs="宋体"/>
                <w:b/>
                <w:bCs/>
                <w:color w:val="auto"/>
                <w:szCs w:val="24"/>
              </w:rPr>
              <w:t>（投标文件中需提供此功能截图并加盖投标人公章），</w:t>
            </w:r>
            <w:r>
              <w:rPr>
                <w:rFonts w:ascii="宋体" w:hAnsi="宋体" w:eastAsia="宋体" w:cs="宋体"/>
                <w:b/>
                <w:bCs/>
                <w:szCs w:val="24"/>
              </w:rPr>
              <w:t>提供符合要求的得1分，不提供不得分。</w:t>
            </w:r>
          </w:p>
          <w:p w14:paraId="23786A27">
            <w:pPr>
              <w:pStyle w:val="83"/>
              <w:spacing w:line="240" w:lineRule="auto"/>
              <w:rPr>
                <w:rFonts w:ascii="宋体" w:hAnsi="宋体" w:eastAsia="宋体" w:cs="宋体"/>
                <w:b/>
                <w:bCs/>
                <w:color w:val="auto"/>
                <w:szCs w:val="24"/>
              </w:rPr>
            </w:pPr>
            <w:r>
              <w:rPr>
                <w:rFonts w:ascii="宋体" w:hAnsi="宋体" w:eastAsia="宋体" w:cs="宋体"/>
                <w:szCs w:val="24"/>
              </w:rPr>
              <w:t>3.混合动力汽车各个总成识别包含电机、发动机、动力电池。</w:t>
            </w:r>
            <w:r>
              <w:rPr>
                <w:rFonts w:ascii="宋体" w:hAnsi="宋体" w:eastAsia="宋体" w:cs="宋体"/>
                <w:szCs w:val="24"/>
              </w:rPr>
              <w:br w:type="textWrapping"/>
            </w:r>
            <w:r>
              <w:rPr>
                <w:rFonts w:ascii="宋体" w:hAnsi="宋体" w:eastAsia="宋体" w:cs="宋体"/>
                <w:szCs w:val="24"/>
              </w:rPr>
              <w:t>与下位机联系的有起步工况、正常行驶、加速行驶、高速行驶、减速行驶、电池电量低等六个模式。不与下位机联系的有纯电模式、纯油模式、油电混合模式等三个基础部分。每一部分都有一个动画以及一部分说明组成，可以选择显示动画、说明，也可以选择全显示，每个模式切换的过程中，十秒内只能切换一个模式。</w:t>
            </w:r>
            <w:r>
              <w:rPr>
                <w:rFonts w:ascii="宋体" w:hAnsi="宋体" w:eastAsia="宋体" w:cs="宋体"/>
                <w:b/>
                <w:bCs/>
                <w:color w:val="auto"/>
                <w:szCs w:val="24"/>
              </w:rPr>
              <w:t>（投标文件中需提供此功能截图并加盖投标人公章），</w:t>
            </w:r>
            <w:r>
              <w:rPr>
                <w:rFonts w:ascii="宋体" w:hAnsi="宋体" w:eastAsia="宋体" w:cs="宋体"/>
                <w:b/>
                <w:bCs/>
                <w:szCs w:val="24"/>
              </w:rPr>
              <w:t>提供符合要求的得1分，不提供不得分。</w:t>
            </w:r>
          </w:p>
        </w:tc>
        <w:tc>
          <w:tcPr>
            <w:tcW w:w="525" w:type="pct"/>
            <w:tcBorders>
              <w:top w:val="single" w:color="auto" w:sz="4" w:space="0"/>
              <w:left w:val="single" w:color="auto" w:sz="4" w:space="0"/>
              <w:bottom w:val="single" w:color="auto" w:sz="4" w:space="0"/>
              <w:right w:val="single" w:color="auto" w:sz="4" w:space="0"/>
            </w:tcBorders>
            <w:vAlign w:val="center"/>
          </w:tcPr>
          <w:p w14:paraId="5D8D1F7A">
            <w:pPr>
              <w:pStyle w:val="3"/>
              <w:spacing w:before="0" w:after="0" w:line="240" w:lineRule="auto"/>
              <w:jc w:val="center"/>
              <w:rPr>
                <w:rFonts w:hint="eastAsia" w:ascii="宋体" w:hAnsi="宋体" w:eastAsia="宋体" w:cs="宋体"/>
                <w:b w:val="0"/>
                <w:bCs w:val="0"/>
                <w:sz w:val="24"/>
                <w:szCs w:val="24"/>
              </w:rPr>
            </w:pPr>
            <w:r>
              <w:rPr>
                <w:rFonts w:hint="eastAsia" w:ascii="宋体" w:hAnsi="宋体" w:eastAsia="宋体" w:cs="宋体"/>
                <w:b w:val="0"/>
                <w:bCs w:val="0"/>
                <w:sz w:val="24"/>
                <w:szCs w:val="24"/>
              </w:rPr>
              <w:t>0-4分</w:t>
            </w:r>
          </w:p>
        </w:tc>
        <w:tc>
          <w:tcPr>
            <w:tcW w:w="548" w:type="pct"/>
            <w:tcBorders>
              <w:top w:val="single" w:color="auto" w:sz="4" w:space="0"/>
              <w:left w:val="single" w:color="auto" w:sz="4" w:space="0"/>
              <w:bottom w:val="single" w:color="auto" w:sz="4" w:space="0"/>
              <w:right w:val="single" w:color="auto" w:sz="8" w:space="0"/>
            </w:tcBorders>
            <w:vAlign w:val="center"/>
          </w:tcPr>
          <w:p w14:paraId="09FD65D6">
            <w:pPr>
              <w:jc w:val="center"/>
              <w:rPr>
                <w:rFonts w:hint="eastAsia" w:ascii="宋体" w:hAnsi="宋体" w:cs="宋体"/>
                <w:sz w:val="24"/>
                <w:szCs w:val="24"/>
              </w:rPr>
            </w:pPr>
            <w:r>
              <w:rPr>
                <w:rFonts w:hint="eastAsia" w:ascii="宋体" w:hAnsi="宋体" w:cs="宋体"/>
                <w:sz w:val="24"/>
                <w:szCs w:val="24"/>
              </w:rPr>
              <w:t>客观分</w:t>
            </w:r>
          </w:p>
        </w:tc>
      </w:tr>
      <w:tr w14:paraId="1E2641FA">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310" w:hRule="atLeast"/>
        </w:trPr>
        <w:tc>
          <w:tcPr>
            <w:tcW w:w="254" w:type="pct"/>
            <w:tcBorders>
              <w:top w:val="single" w:color="auto" w:sz="4" w:space="0"/>
              <w:left w:val="single" w:color="auto" w:sz="8" w:space="0"/>
              <w:right w:val="single" w:color="auto" w:sz="4" w:space="0"/>
            </w:tcBorders>
            <w:vAlign w:val="center"/>
          </w:tcPr>
          <w:p w14:paraId="6888F814">
            <w:pPr>
              <w:adjustRightInd w:val="0"/>
              <w:snapToGrid w:val="0"/>
              <w:jc w:val="center"/>
              <w:rPr>
                <w:rFonts w:hint="eastAsia" w:ascii="宋体" w:hAnsi="宋体" w:cs="宋体"/>
                <w:sz w:val="24"/>
                <w:szCs w:val="24"/>
              </w:rPr>
            </w:pPr>
            <w:r>
              <w:rPr>
                <w:rFonts w:hint="eastAsia" w:ascii="宋体" w:hAnsi="宋体" w:cs="宋体"/>
                <w:sz w:val="24"/>
                <w:szCs w:val="24"/>
              </w:rPr>
              <w:t>11</w:t>
            </w:r>
          </w:p>
        </w:tc>
        <w:tc>
          <w:tcPr>
            <w:tcW w:w="371" w:type="pct"/>
            <w:tcBorders>
              <w:top w:val="single" w:color="auto" w:sz="4" w:space="0"/>
              <w:left w:val="single" w:color="auto" w:sz="4" w:space="0"/>
              <w:right w:val="single" w:color="auto" w:sz="4" w:space="0"/>
            </w:tcBorders>
            <w:vAlign w:val="center"/>
          </w:tcPr>
          <w:p w14:paraId="69A20F39">
            <w:pPr>
              <w:autoSpaceDE w:val="0"/>
              <w:autoSpaceDN w:val="0"/>
              <w:adjustRightInd w:val="0"/>
              <w:jc w:val="center"/>
              <w:rPr>
                <w:rFonts w:hint="eastAsia" w:ascii="宋体" w:hAnsi="宋体" w:cs="宋体"/>
                <w:color w:val="000000"/>
                <w:kern w:val="0"/>
                <w:sz w:val="24"/>
                <w:szCs w:val="24"/>
                <w:lang w:bidi="ar"/>
              </w:rPr>
            </w:pPr>
            <w:r>
              <w:rPr>
                <w:rFonts w:hint="eastAsia" w:ascii="宋体" w:hAnsi="宋体" w:cs="宋体"/>
                <w:color w:val="000000"/>
                <w:kern w:val="0"/>
                <w:sz w:val="24"/>
                <w:szCs w:val="24"/>
                <w:lang w:bidi="ar"/>
              </w:rPr>
              <w:t>技术</w:t>
            </w:r>
          </w:p>
        </w:tc>
        <w:tc>
          <w:tcPr>
            <w:tcW w:w="3302" w:type="pct"/>
            <w:tcBorders>
              <w:top w:val="single" w:color="auto" w:sz="4" w:space="0"/>
              <w:left w:val="single" w:color="auto" w:sz="4" w:space="0"/>
              <w:bottom w:val="single" w:color="auto" w:sz="4" w:space="0"/>
              <w:right w:val="single" w:color="auto" w:sz="4" w:space="0"/>
            </w:tcBorders>
            <w:shd w:val="clear" w:color="auto" w:fill="auto"/>
            <w:vAlign w:val="center"/>
          </w:tcPr>
          <w:p w14:paraId="092EF67F">
            <w:pPr>
              <w:pStyle w:val="83"/>
              <w:spacing w:line="240" w:lineRule="auto"/>
              <w:rPr>
                <w:rFonts w:ascii="宋体" w:hAnsi="宋体" w:eastAsia="宋体" w:cs="宋体"/>
                <w:kern w:val="0"/>
                <w:szCs w:val="24"/>
                <w:lang w:bidi="ar"/>
              </w:rPr>
            </w:pPr>
            <w:r>
              <w:rPr>
                <w:rFonts w:ascii="宋体" w:hAnsi="宋体" w:eastAsia="宋体" w:cs="宋体"/>
                <w:kern w:val="0"/>
                <w:szCs w:val="24"/>
                <w:lang w:bidi="ar"/>
              </w:rPr>
              <w:t>新能源汽车驱动电机VR智能教学软件系统</w:t>
            </w:r>
          </w:p>
          <w:p w14:paraId="69B3121E">
            <w:pPr>
              <w:pStyle w:val="83"/>
              <w:spacing w:line="240" w:lineRule="auto"/>
              <w:rPr>
                <w:rFonts w:ascii="宋体" w:hAnsi="宋体" w:eastAsia="宋体" w:cs="宋体"/>
                <w:b/>
                <w:bCs/>
                <w:szCs w:val="24"/>
              </w:rPr>
            </w:pPr>
            <w:r>
              <w:rPr>
                <w:rFonts w:ascii="宋体" w:hAnsi="宋体" w:eastAsia="宋体" w:cs="宋体"/>
                <w:kern w:val="0"/>
                <w:szCs w:val="24"/>
                <w:lang w:bidi="ar"/>
              </w:rPr>
              <w:t>1、通过1:1建模在3D环境内真实呈现了驱动电机的基本结构，将驱动电机分解展示：电机后端盖螺丝、电机后端盖、电机温度传感器插接件、电机转速传感器插接件、旋转变压器插头、后端轴承、电机转速传感器定子、传感器压盘、传感器固定螺栓、旋变转子、电机转子、前端轴承、内花键、电机定子固定螺栓、三相绕组连接端子、电机温度传感器、电机定子总成、固定螺栓、接线盒、固定螺栓、电机空气平衡口、接线盒盖板、冷却水管接头、冷却液排气孔、电机壳体、冷却水管接头、固定螺栓、冷却液排放口螺丝、密封环、卡簧、冷却液温度传感器等31个零部件；详细语音讲解及文字介绍。电机系统模块还配备有低温工况、高温工况原理动画，通过生动的三维动画，使学员更容易学习总成工作及原理。</w:t>
            </w:r>
            <w:r>
              <w:rPr>
                <w:rFonts w:ascii="宋体" w:hAnsi="宋体" w:eastAsia="宋体" w:cs="宋体"/>
                <w:b/>
                <w:bCs/>
                <w:color w:val="auto"/>
                <w:szCs w:val="24"/>
              </w:rPr>
              <w:t>（投标文件中需提供低温工况、高温工况原理动画截图并加盖投标人公章），</w:t>
            </w:r>
            <w:r>
              <w:rPr>
                <w:rFonts w:ascii="宋体" w:hAnsi="宋体" w:eastAsia="宋体" w:cs="宋体"/>
                <w:b/>
                <w:bCs/>
                <w:szCs w:val="24"/>
              </w:rPr>
              <w:t>提供符合要求的得1分，不提供不得分。</w:t>
            </w:r>
          </w:p>
          <w:p w14:paraId="5EDF012F">
            <w:pPr>
              <w:pStyle w:val="83"/>
              <w:spacing w:line="240" w:lineRule="auto"/>
              <w:rPr>
                <w:rFonts w:hint="default" w:ascii="宋体" w:hAnsi="宋体" w:eastAsia="宋体" w:cs="宋体"/>
                <w:b/>
                <w:bCs/>
                <w:color w:val="auto"/>
                <w:szCs w:val="24"/>
              </w:rPr>
            </w:pPr>
            <w:r>
              <w:rPr>
                <w:rFonts w:ascii="宋体" w:hAnsi="宋体" w:eastAsia="宋体" w:cs="宋体"/>
                <w:szCs w:val="24"/>
              </w:rPr>
              <w:t>2、</w:t>
            </w:r>
            <w:r>
              <w:rPr>
                <w:rFonts w:ascii="宋体" w:hAnsi="宋体" w:eastAsia="宋体" w:cs="宋体"/>
                <w:kern w:val="0"/>
                <w:szCs w:val="24"/>
                <w:lang w:bidi="ar"/>
              </w:rPr>
              <w:t>配有答题模式，根据学生所学的知识进行考核，加深学生对所学章节的印象。系统根据本次所学得知生成试卷，通过语音读题、字幕同步显示、自动评判、错误提示、设有专门的功</w:t>
            </w:r>
            <w:r>
              <w:rPr>
                <w:rFonts w:ascii="宋体" w:hAnsi="宋体" w:eastAsia="宋体" w:cs="宋体"/>
                <w:color w:val="auto"/>
                <w:kern w:val="0"/>
                <w:szCs w:val="24"/>
                <w:lang w:bidi="ar"/>
              </w:rPr>
              <w:t>能区，并引导和鼓励学生再次学习。使学生主动学习并验证自己的学习效果。</w:t>
            </w:r>
            <w:r>
              <w:rPr>
                <w:rFonts w:ascii="宋体" w:hAnsi="宋体" w:eastAsia="宋体" w:cs="宋体"/>
                <w:b/>
                <w:bCs/>
                <w:color w:val="auto"/>
                <w:szCs w:val="24"/>
              </w:rPr>
              <w:t>（投标文件中需提供此功能截图并加盖投标人公章）提供符合要求的得1分，不提供不得分。</w:t>
            </w:r>
          </w:p>
          <w:p w14:paraId="15CAFAA4">
            <w:pPr>
              <w:pStyle w:val="83"/>
              <w:spacing w:line="240" w:lineRule="auto"/>
              <w:rPr>
                <w:rFonts w:ascii="宋体" w:hAnsi="宋体" w:eastAsia="宋体" w:cs="宋体"/>
                <w:b/>
                <w:bCs/>
                <w:szCs w:val="24"/>
              </w:rPr>
            </w:pPr>
            <w:r>
              <w:rPr>
                <w:rFonts w:ascii="宋体" w:hAnsi="宋体" w:eastAsia="宋体" w:cs="宋体"/>
                <w:color w:val="auto"/>
                <w:kern w:val="0"/>
                <w:szCs w:val="24"/>
                <w:lang w:bidi="ar"/>
              </w:rPr>
              <w:t>3、电机模块主要展示电机各部件的认知和结构原理，代替老师讲解新能源汽车驱动电机结构各零部件作用。</w:t>
            </w:r>
            <w:r>
              <w:rPr>
                <w:rFonts w:ascii="宋体" w:hAnsi="宋体" w:eastAsia="宋体" w:cs="宋体"/>
                <w:b/>
                <w:bCs/>
                <w:color w:val="auto"/>
                <w:szCs w:val="24"/>
              </w:rPr>
              <w:t>（投标文件中需提供此功能截图并加盖投标人公章）提供符合要求的得1分，不提供不得分。</w:t>
            </w:r>
          </w:p>
        </w:tc>
        <w:tc>
          <w:tcPr>
            <w:tcW w:w="525" w:type="pct"/>
            <w:tcBorders>
              <w:top w:val="single" w:color="auto" w:sz="4" w:space="0"/>
              <w:left w:val="single" w:color="auto" w:sz="4" w:space="0"/>
              <w:bottom w:val="single" w:color="auto" w:sz="4" w:space="0"/>
              <w:right w:val="single" w:color="auto" w:sz="4" w:space="0"/>
            </w:tcBorders>
            <w:vAlign w:val="center"/>
          </w:tcPr>
          <w:p w14:paraId="26FE3514">
            <w:pPr>
              <w:pStyle w:val="3"/>
              <w:spacing w:before="0" w:after="0" w:line="240" w:lineRule="auto"/>
              <w:jc w:val="center"/>
              <w:rPr>
                <w:rFonts w:hint="eastAsia" w:ascii="宋体" w:hAnsi="宋体" w:eastAsia="宋体" w:cs="宋体"/>
                <w:b w:val="0"/>
                <w:bCs w:val="0"/>
                <w:sz w:val="24"/>
                <w:szCs w:val="24"/>
              </w:rPr>
            </w:pPr>
            <w:r>
              <w:rPr>
                <w:rFonts w:hint="eastAsia" w:ascii="宋体" w:hAnsi="宋体" w:eastAsia="宋体" w:cs="宋体"/>
                <w:b w:val="0"/>
                <w:bCs w:val="0"/>
                <w:sz w:val="24"/>
                <w:szCs w:val="24"/>
              </w:rPr>
              <w:t>0-3分</w:t>
            </w:r>
          </w:p>
        </w:tc>
        <w:tc>
          <w:tcPr>
            <w:tcW w:w="548" w:type="pct"/>
            <w:tcBorders>
              <w:top w:val="single" w:color="auto" w:sz="4" w:space="0"/>
              <w:left w:val="single" w:color="auto" w:sz="4" w:space="0"/>
              <w:bottom w:val="single" w:color="auto" w:sz="4" w:space="0"/>
              <w:right w:val="single" w:color="auto" w:sz="8" w:space="0"/>
            </w:tcBorders>
            <w:vAlign w:val="center"/>
          </w:tcPr>
          <w:p w14:paraId="01470F65">
            <w:pPr>
              <w:jc w:val="center"/>
              <w:rPr>
                <w:rFonts w:hint="eastAsia" w:ascii="宋体" w:hAnsi="宋体" w:cs="宋体"/>
                <w:sz w:val="24"/>
                <w:szCs w:val="24"/>
              </w:rPr>
            </w:pPr>
            <w:r>
              <w:rPr>
                <w:rFonts w:hint="eastAsia" w:ascii="宋体" w:hAnsi="宋体" w:cs="宋体"/>
                <w:sz w:val="24"/>
                <w:szCs w:val="24"/>
              </w:rPr>
              <w:t>客观分</w:t>
            </w:r>
          </w:p>
        </w:tc>
      </w:tr>
      <w:tr w14:paraId="512F8E07">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310" w:hRule="atLeast"/>
        </w:trPr>
        <w:tc>
          <w:tcPr>
            <w:tcW w:w="254" w:type="pct"/>
            <w:tcBorders>
              <w:top w:val="single" w:color="auto" w:sz="4" w:space="0"/>
              <w:left w:val="single" w:color="auto" w:sz="8" w:space="0"/>
              <w:right w:val="single" w:color="auto" w:sz="4" w:space="0"/>
            </w:tcBorders>
            <w:vAlign w:val="center"/>
          </w:tcPr>
          <w:p w14:paraId="3CBDD4B6">
            <w:pPr>
              <w:adjustRightInd w:val="0"/>
              <w:snapToGrid w:val="0"/>
              <w:jc w:val="center"/>
              <w:rPr>
                <w:rFonts w:hint="eastAsia" w:ascii="宋体" w:hAnsi="宋体" w:cs="宋体"/>
                <w:sz w:val="24"/>
                <w:szCs w:val="24"/>
              </w:rPr>
            </w:pPr>
            <w:r>
              <w:rPr>
                <w:rFonts w:hint="eastAsia" w:ascii="宋体" w:hAnsi="宋体" w:cs="宋体"/>
                <w:sz w:val="24"/>
                <w:szCs w:val="24"/>
              </w:rPr>
              <w:t>12</w:t>
            </w:r>
          </w:p>
        </w:tc>
        <w:tc>
          <w:tcPr>
            <w:tcW w:w="371" w:type="pct"/>
            <w:tcBorders>
              <w:top w:val="single" w:color="auto" w:sz="4" w:space="0"/>
              <w:left w:val="single" w:color="auto" w:sz="4" w:space="0"/>
              <w:right w:val="single" w:color="auto" w:sz="4" w:space="0"/>
            </w:tcBorders>
            <w:vAlign w:val="center"/>
          </w:tcPr>
          <w:p w14:paraId="599614A2">
            <w:pPr>
              <w:autoSpaceDE w:val="0"/>
              <w:autoSpaceDN w:val="0"/>
              <w:adjustRightInd w:val="0"/>
              <w:jc w:val="center"/>
              <w:rPr>
                <w:rFonts w:hint="eastAsia" w:ascii="宋体" w:hAnsi="宋体" w:cs="宋体"/>
                <w:color w:val="000000"/>
                <w:kern w:val="0"/>
                <w:sz w:val="24"/>
                <w:szCs w:val="24"/>
                <w:lang w:bidi="ar"/>
              </w:rPr>
            </w:pPr>
            <w:r>
              <w:rPr>
                <w:rFonts w:hint="eastAsia" w:ascii="宋体" w:hAnsi="宋体" w:cs="宋体"/>
                <w:color w:val="000000"/>
                <w:kern w:val="0"/>
                <w:sz w:val="24"/>
                <w:szCs w:val="24"/>
                <w:lang w:bidi="ar"/>
              </w:rPr>
              <w:t>技术</w:t>
            </w:r>
          </w:p>
        </w:tc>
        <w:tc>
          <w:tcPr>
            <w:tcW w:w="3302" w:type="pct"/>
            <w:tcBorders>
              <w:top w:val="single" w:color="auto" w:sz="4" w:space="0"/>
              <w:left w:val="single" w:color="auto" w:sz="4" w:space="0"/>
              <w:bottom w:val="single" w:color="auto" w:sz="4" w:space="0"/>
              <w:right w:val="single" w:color="auto" w:sz="4" w:space="0"/>
            </w:tcBorders>
            <w:shd w:val="clear" w:color="auto" w:fill="auto"/>
            <w:vAlign w:val="center"/>
          </w:tcPr>
          <w:p w14:paraId="6DA26A28">
            <w:pPr>
              <w:pStyle w:val="83"/>
              <w:spacing w:line="240" w:lineRule="auto"/>
              <w:rPr>
                <w:rFonts w:ascii="宋体" w:hAnsi="宋体" w:eastAsia="宋体" w:cs="宋体"/>
                <w:kern w:val="0"/>
                <w:szCs w:val="24"/>
                <w:lang w:bidi="ar"/>
              </w:rPr>
            </w:pPr>
            <w:r>
              <w:rPr>
                <w:rFonts w:ascii="宋体" w:hAnsi="宋体" w:eastAsia="宋体" w:cs="宋体"/>
                <w:kern w:val="0"/>
                <w:szCs w:val="24"/>
                <w:lang w:bidi="ar"/>
              </w:rPr>
              <w:t>新能源汽车高压控制器及高压安全VR智能教学软件系统</w:t>
            </w:r>
          </w:p>
          <w:p w14:paraId="0ACF8289">
            <w:pPr>
              <w:pStyle w:val="83"/>
              <w:spacing w:line="240" w:lineRule="auto"/>
              <w:rPr>
                <w:rFonts w:ascii="宋体" w:hAnsi="宋体" w:eastAsia="宋体" w:cs="宋体"/>
                <w:szCs w:val="24"/>
              </w:rPr>
            </w:pPr>
            <w:r>
              <w:rPr>
                <w:rFonts w:ascii="宋体" w:hAnsi="宋体" w:eastAsia="宋体" w:cs="宋体"/>
                <w:kern w:val="0"/>
                <w:szCs w:val="24"/>
                <w:lang w:bidi="ar"/>
              </w:rPr>
              <w:t>1、安全警示模块（通过动画模拟纯电动汽车，充电操作不规范造成的人身伤害，和拆卸配电箱元器件操作不规范造成的人身伤害以及正确操作流程）通过本系统学生可以认识到新能源汽车操作流程不规范所造成的故障的严重性，模拟在现实中容易发生的情况。</w:t>
            </w:r>
            <w:r>
              <w:rPr>
                <w:rFonts w:ascii="宋体" w:hAnsi="宋体" w:eastAsia="宋体" w:cs="宋体"/>
                <w:b/>
                <w:bCs/>
                <w:color w:val="auto"/>
                <w:szCs w:val="24"/>
              </w:rPr>
              <w:t>（投标文件中需提供此功能截图并加盖投标人公章）</w:t>
            </w:r>
            <w:r>
              <w:rPr>
                <w:rFonts w:ascii="宋体" w:hAnsi="宋体" w:eastAsia="宋体" w:cs="宋体"/>
                <w:b/>
                <w:bCs/>
                <w:szCs w:val="24"/>
              </w:rPr>
              <w:t>提供符合要求的得1分，不提供不得分。</w:t>
            </w:r>
          </w:p>
        </w:tc>
        <w:tc>
          <w:tcPr>
            <w:tcW w:w="525" w:type="pct"/>
            <w:tcBorders>
              <w:top w:val="single" w:color="auto" w:sz="4" w:space="0"/>
              <w:left w:val="single" w:color="auto" w:sz="4" w:space="0"/>
              <w:bottom w:val="single" w:color="auto" w:sz="4" w:space="0"/>
              <w:right w:val="single" w:color="auto" w:sz="4" w:space="0"/>
            </w:tcBorders>
            <w:vAlign w:val="center"/>
          </w:tcPr>
          <w:p w14:paraId="55CF7AF0">
            <w:pPr>
              <w:pStyle w:val="3"/>
              <w:spacing w:before="0" w:after="0" w:line="240" w:lineRule="auto"/>
              <w:jc w:val="center"/>
              <w:rPr>
                <w:rFonts w:hint="eastAsia" w:ascii="宋体" w:hAnsi="宋体" w:eastAsia="宋体" w:cs="宋体"/>
                <w:b w:val="0"/>
                <w:bCs w:val="0"/>
                <w:sz w:val="24"/>
                <w:szCs w:val="24"/>
              </w:rPr>
            </w:pPr>
            <w:r>
              <w:rPr>
                <w:rFonts w:hint="eastAsia" w:ascii="宋体" w:hAnsi="宋体" w:eastAsia="宋体" w:cs="宋体"/>
                <w:b w:val="0"/>
                <w:bCs w:val="0"/>
                <w:sz w:val="24"/>
                <w:szCs w:val="24"/>
              </w:rPr>
              <w:t>0-1分</w:t>
            </w:r>
          </w:p>
        </w:tc>
        <w:tc>
          <w:tcPr>
            <w:tcW w:w="548" w:type="pct"/>
            <w:tcBorders>
              <w:top w:val="single" w:color="auto" w:sz="4" w:space="0"/>
              <w:left w:val="single" w:color="auto" w:sz="4" w:space="0"/>
              <w:bottom w:val="single" w:color="auto" w:sz="4" w:space="0"/>
              <w:right w:val="single" w:color="auto" w:sz="8" w:space="0"/>
            </w:tcBorders>
            <w:vAlign w:val="center"/>
          </w:tcPr>
          <w:p w14:paraId="13AC39BC">
            <w:pPr>
              <w:jc w:val="center"/>
              <w:rPr>
                <w:rFonts w:hint="eastAsia" w:ascii="宋体" w:hAnsi="宋体" w:cs="宋体"/>
                <w:sz w:val="24"/>
                <w:szCs w:val="24"/>
              </w:rPr>
            </w:pPr>
            <w:r>
              <w:rPr>
                <w:rFonts w:hint="eastAsia" w:ascii="宋体" w:hAnsi="宋体" w:cs="宋体"/>
                <w:sz w:val="24"/>
                <w:szCs w:val="24"/>
              </w:rPr>
              <w:t>客观分</w:t>
            </w:r>
          </w:p>
        </w:tc>
      </w:tr>
      <w:tr w14:paraId="53DC9B6F">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310" w:hRule="atLeast"/>
        </w:trPr>
        <w:tc>
          <w:tcPr>
            <w:tcW w:w="254" w:type="pct"/>
            <w:tcBorders>
              <w:left w:val="single" w:color="auto" w:sz="8" w:space="0"/>
              <w:right w:val="single" w:color="auto" w:sz="4" w:space="0"/>
            </w:tcBorders>
            <w:vAlign w:val="center"/>
          </w:tcPr>
          <w:p w14:paraId="28688D3E">
            <w:pPr>
              <w:widowControl/>
              <w:jc w:val="center"/>
              <w:rPr>
                <w:rFonts w:hint="eastAsia" w:ascii="宋体" w:hAnsi="宋体" w:cs="宋体"/>
                <w:sz w:val="24"/>
                <w:szCs w:val="24"/>
              </w:rPr>
            </w:pPr>
            <w:r>
              <w:rPr>
                <w:rFonts w:hint="eastAsia" w:ascii="宋体" w:hAnsi="宋体" w:cs="宋体"/>
                <w:sz w:val="24"/>
                <w:szCs w:val="24"/>
              </w:rPr>
              <w:t>13</w:t>
            </w:r>
          </w:p>
        </w:tc>
        <w:tc>
          <w:tcPr>
            <w:tcW w:w="371" w:type="pct"/>
            <w:tcBorders>
              <w:left w:val="single" w:color="auto" w:sz="4" w:space="0"/>
              <w:right w:val="single" w:color="auto" w:sz="4" w:space="0"/>
            </w:tcBorders>
            <w:shd w:val="clear" w:color="auto" w:fill="auto"/>
            <w:vAlign w:val="center"/>
          </w:tcPr>
          <w:p w14:paraId="4DFF502D">
            <w:pPr>
              <w:jc w:val="center"/>
              <w:rPr>
                <w:rFonts w:hint="eastAsia" w:ascii="宋体" w:hAnsi="宋体" w:cs="宋体"/>
                <w:color w:val="auto"/>
                <w:kern w:val="0"/>
                <w:sz w:val="24"/>
                <w:szCs w:val="24"/>
                <w:lang w:bidi="ar"/>
              </w:rPr>
            </w:pPr>
            <w:r>
              <w:rPr>
                <w:rFonts w:hint="eastAsia" w:ascii="宋体" w:hAnsi="宋体" w:cs="宋体"/>
                <w:color w:val="auto"/>
                <w:kern w:val="0"/>
                <w:sz w:val="24"/>
                <w:szCs w:val="24"/>
                <w:lang w:bidi="ar"/>
              </w:rPr>
              <w:t>技术</w:t>
            </w:r>
          </w:p>
        </w:tc>
        <w:tc>
          <w:tcPr>
            <w:tcW w:w="3302" w:type="pct"/>
            <w:tcBorders>
              <w:top w:val="single" w:color="auto" w:sz="4" w:space="0"/>
              <w:left w:val="single" w:color="auto" w:sz="4" w:space="0"/>
              <w:bottom w:val="single" w:color="auto" w:sz="4" w:space="0"/>
              <w:right w:val="single" w:color="auto" w:sz="4" w:space="0"/>
            </w:tcBorders>
            <w:shd w:val="clear" w:color="auto" w:fill="auto"/>
            <w:vAlign w:val="center"/>
          </w:tcPr>
          <w:p w14:paraId="71619002">
            <w:pPr>
              <w:widowControl/>
              <w:snapToGrid w:val="0"/>
              <w:jc w:val="left"/>
              <w:rPr>
                <w:rFonts w:hint="eastAsia" w:ascii="宋体" w:hAnsi="宋体" w:cs="宋体"/>
                <w:color w:val="auto"/>
                <w:kern w:val="0"/>
                <w:sz w:val="24"/>
                <w:szCs w:val="24"/>
                <w:lang w:bidi="ar"/>
              </w:rPr>
            </w:pPr>
            <w:bookmarkStart w:id="18" w:name="OLE_LINK8"/>
            <w:r>
              <w:rPr>
                <w:rFonts w:hint="eastAsia" w:ascii="宋体" w:hAnsi="宋体" w:cs="宋体"/>
                <w:color w:val="auto"/>
                <w:kern w:val="0"/>
                <w:sz w:val="24"/>
                <w:szCs w:val="24"/>
                <w:lang w:bidi="ar"/>
              </w:rPr>
              <w:t>一、新能源汽车动力电池VR智能教学软件系统</w:t>
            </w:r>
          </w:p>
          <w:bookmarkEnd w:id="18"/>
          <w:p w14:paraId="46DE9C67">
            <w:pPr>
              <w:widowControl/>
              <w:snapToGrid w:val="0"/>
              <w:jc w:val="left"/>
              <w:rPr>
                <w:rFonts w:ascii="宋体" w:hAnsi="宋体" w:cs="宋体"/>
                <w:color w:val="auto"/>
                <w:kern w:val="0"/>
                <w:sz w:val="24"/>
                <w:szCs w:val="24"/>
                <w:lang w:bidi="ar"/>
              </w:rPr>
            </w:pPr>
            <w:r>
              <w:rPr>
                <w:rFonts w:hint="eastAsia" w:ascii="宋体" w:hAnsi="宋体" w:cs="宋体"/>
                <w:color w:val="auto"/>
                <w:kern w:val="0"/>
                <w:sz w:val="24"/>
                <w:szCs w:val="24"/>
                <w:lang w:bidi="ar"/>
              </w:rPr>
              <w:t>1、通过1:1建模在3D环境内真实呈现了动力电池的基本结构，将电池分解展示为:电池单体、连接片、连接螺栓、温度传感器、分采集控制单元、保险丝、控制继电器（维修开关）、BMS单元、电池盖板、电池护板等15个零部件。详细语音讲解及文字介绍。内置高温管理、低温管理、过压管理、欠压管理、过冲管理和过放管理，通过生动的三维动画方式，还原真实的工作原理，使学员更容易学习。（投标现场需提供高温管理、低温管理、过压管理、欠压管理、过冲管理和过放管理动画截图并加盖投标人公章），每提供1项得0.5分，最多3分，不提供不得分。</w:t>
            </w:r>
          </w:p>
          <w:p w14:paraId="65230909">
            <w:pPr>
              <w:widowControl/>
              <w:snapToGrid w:val="0"/>
              <w:jc w:val="left"/>
              <w:rPr>
                <w:rFonts w:hint="eastAsia" w:ascii="宋体" w:hAnsi="宋体" w:cs="宋体"/>
                <w:color w:val="auto"/>
                <w:kern w:val="0"/>
                <w:sz w:val="24"/>
                <w:szCs w:val="24"/>
                <w:lang w:bidi="ar"/>
              </w:rPr>
            </w:pPr>
            <w:r>
              <w:rPr>
                <w:rFonts w:hint="eastAsia" w:ascii="宋体" w:hAnsi="宋体" w:cs="宋体"/>
                <w:color w:val="auto"/>
                <w:kern w:val="0"/>
                <w:sz w:val="24"/>
                <w:szCs w:val="24"/>
                <w:lang w:bidi="ar"/>
              </w:rPr>
              <w:t>2、动力电池模块主要展示动力电池各部件的认知和结构原理，代替老师讲解新能源汽车变速器机构各零部件作用。（投标供应商需提供满足参数的系统功能截图）</w:t>
            </w:r>
            <w:r>
              <w:rPr>
                <w:rFonts w:hint="eastAsia" w:ascii="宋体" w:hAnsi="宋体" w:cs="宋体"/>
                <w:b/>
                <w:bCs/>
                <w:color w:val="auto"/>
                <w:sz w:val="24"/>
                <w:szCs w:val="24"/>
              </w:rPr>
              <w:t>提供符合要求的得0.5分，不提供不得分。</w:t>
            </w:r>
          </w:p>
          <w:p w14:paraId="0C1E9483">
            <w:pPr>
              <w:widowControl/>
              <w:snapToGrid w:val="0"/>
              <w:jc w:val="left"/>
              <w:rPr>
                <w:rFonts w:hint="eastAsia" w:ascii="宋体" w:hAnsi="宋体" w:cs="宋体"/>
                <w:color w:val="auto"/>
                <w:kern w:val="0"/>
                <w:sz w:val="24"/>
                <w:szCs w:val="24"/>
                <w:lang w:bidi="ar"/>
              </w:rPr>
            </w:pPr>
            <w:r>
              <w:rPr>
                <w:rFonts w:hint="eastAsia" w:ascii="宋体" w:hAnsi="宋体" w:cs="宋体"/>
                <w:color w:val="auto"/>
                <w:kern w:val="0"/>
                <w:sz w:val="24"/>
                <w:szCs w:val="24"/>
                <w:lang w:bidi="ar"/>
              </w:rPr>
              <w:t>3、通过3D特效展示了动力电池内部结构及工作原理，可根据学习需要，重复学习重点或难懂的知识点。能够解决新能源汽车教学和实训中看不见、查不到、拆不开、无法重复使用等问题。（投标供应商需提供满足参数的系统功能截图）</w:t>
            </w:r>
            <w:r>
              <w:rPr>
                <w:rFonts w:hint="eastAsia" w:ascii="宋体" w:hAnsi="宋体" w:cs="宋体"/>
                <w:b/>
                <w:bCs/>
                <w:color w:val="auto"/>
                <w:sz w:val="24"/>
                <w:szCs w:val="24"/>
              </w:rPr>
              <w:t>提供符合要求的得0.5分，不提供不得分。</w:t>
            </w:r>
          </w:p>
          <w:p w14:paraId="0C340AD5">
            <w:pPr>
              <w:widowControl/>
              <w:snapToGrid w:val="0"/>
              <w:jc w:val="left"/>
              <w:rPr>
                <w:rFonts w:ascii="宋体" w:hAnsi="宋体" w:cs="宋体"/>
                <w:color w:val="auto"/>
                <w:kern w:val="0"/>
                <w:sz w:val="24"/>
                <w:szCs w:val="24"/>
                <w:lang w:bidi="ar"/>
              </w:rPr>
            </w:pPr>
            <w:r>
              <w:rPr>
                <w:rFonts w:hint="eastAsia" w:ascii="宋体" w:hAnsi="宋体" w:cs="宋体"/>
                <w:color w:val="auto"/>
                <w:kern w:val="0"/>
                <w:sz w:val="24"/>
                <w:szCs w:val="24"/>
                <w:lang w:bidi="ar"/>
              </w:rPr>
              <w:t>二、新能源汽车变速器VR智能教学软件系统</w:t>
            </w:r>
          </w:p>
          <w:p w14:paraId="43904B6B">
            <w:pPr>
              <w:widowControl/>
              <w:snapToGrid w:val="0"/>
              <w:jc w:val="left"/>
              <w:rPr>
                <w:rFonts w:ascii="宋体" w:hAnsi="宋体" w:cs="宋体"/>
                <w:b/>
                <w:bCs/>
                <w:color w:val="auto"/>
                <w:sz w:val="24"/>
                <w:szCs w:val="24"/>
              </w:rPr>
            </w:pPr>
            <w:r>
              <w:rPr>
                <w:rFonts w:hint="eastAsia" w:ascii="宋体" w:hAnsi="宋体" w:cs="宋体"/>
                <w:color w:val="auto"/>
                <w:kern w:val="0"/>
                <w:sz w:val="24"/>
                <w:szCs w:val="24"/>
                <w:lang w:bidi="ar"/>
              </w:rPr>
              <w:t>1、通过1:1建模在3D环境内真实呈现了变速器的基本结构，将变速器分解展示：变速器壳体固定螺栓、变速器前壳体、密封环、输入轴油封、输出轴油封、防尘盖、波纹形弹簧、输入轴前端轴承、输入轴轴承固定架、输入轴轴承固定架螺栓、输入轴齿轮、输入轴后端轴承、轴承、固定架、螺栓、中间轴及齿轮、中间轴后端轴承卡簧、中间轴后端轴承、短轴、半轴油封工作面、内球笼卡簧、永磁铁、差速器轴承、螺栓及固定架、短轴紧固螺栓、主减速齿轮、预紧弹簧、弹簧座、锥形挡圈、预紧胶圈、差速器壳体、半轴齿轮垫片、半轴齿轮、短轴固定螺母、行星齿轮、行星齿轮垫片、变速器后壳体、注油和油面螺栓、放油螺栓等39个零部件；详细语音讲解及文字介绍。</w:t>
            </w:r>
            <w:bookmarkStart w:id="19" w:name="OLE_LINK10"/>
            <w:r>
              <w:rPr>
                <w:rFonts w:hint="eastAsia" w:ascii="宋体" w:hAnsi="宋体" w:cs="宋体"/>
                <w:color w:val="auto"/>
                <w:kern w:val="0"/>
                <w:sz w:val="24"/>
                <w:szCs w:val="24"/>
                <w:lang w:bidi="ar"/>
              </w:rPr>
              <w:t>（投标供应商需提供满足参数的系统功能截图）</w:t>
            </w:r>
            <w:r>
              <w:rPr>
                <w:rFonts w:hint="eastAsia" w:ascii="宋体" w:hAnsi="宋体" w:cs="宋体"/>
                <w:b/>
                <w:bCs/>
                <w:color w:val="auto"/>
                <w:sz w:val="24"/>
                <w:szCs w:val="24"/>
              </w:rPr>
              <w:t>提供符合要求的得1分，不提供不得分。</w:t>
            </w:r>
            <w:bookmarkEnd w:id="19"/>
          </w:p>
          <w:p w14:paraId="11AA3100">
            <w:pPr>
              <w:widowControl/>
              <w:snapToGrid w:val="0"/>
              <w:jc w:val="left"/>
              <w:rPr>
                <w:rFonts w:ascii="宋体" w:hAnsi="宋体" w:cs="宋体"/>
                <w:b/>
                <w:bCs/>
                <w:color w:val="auto"/>
                <w:sz w:val="24"/>
                <w:szCs w:val="24"/>
              </w:rPr>
            </w:pPr>
            <w:r>
              <w:rPr>
                <w:rFonts w:hint="eastAsia" w:ascii="宋体" w:hAnsi="宋体" w:cs="宋体"/>
                <w:color w:val="auto"/>
                <w:kern w:val="0"/>
                <w:sz w:val="24"/>
                <w:szCs w:val="24"/>
                <w:lang w:bidi="ar"/>
              </w:rPr>
              <w:t>2、变速器模块主要展示变速器各部件的认知和结构原理，代替老师讲解新能源汽车变速器机构各零部件作用。（投标供应商需提供满足参数的系统功能截图）</w:t>
            </w:r>
            <w:r>
              <w:rPr>
                <w:rFonts w:hint="eastAsia" w:ascii="宋体" w:hAnsi="宋体" w:cs="宋体"/>
                <w:b/>
                <w:bCs/>
                <w:color w:val="auto"/>
                <w:sz w:val="24"/>
                <w:szCs w:val="24"/>
              </w:rPr>
              <w:t>提供符合要求的得0.5分，不提供不得分。</w:t>
            </w:r>
          </w:p>
          <w:p w14:paraId="79E08F69">
            <w:pPr>
              <w:widowControl/>
              <w:snapToGrid w:val="0"/>
              <w:jc w:val="left"/>
              <w:rPr>
                <w:rFonts w:hint="eastAsia" w:ascii="宋体" w:hAnsi="宋体" w:cs="宋体"/>
                <w:color w:val="auto"/>
                <w:kern w:val="0"/>
                <w:sz w:val="24"/>
                <w:szCs w:val="24"/>
                <w:lang w:bidi="ar"/>
              </w:rPr>
            </w:pPr>
            <w:r>
              <w:rPr>
                <w:rFonts w:hint="eastAsia" w:ascii="宋体" w:hAnsi="宋体" w:cs="宋体"/>
                <w:color w:val="auto"/>
                <w:kern w:val="0"/>
                <w:sz w:val="24"/>
                <w:szCs w:val="24"/>
                <w:lang w:bidi="ar"/>
              </w:rPr>
              <w:t>3、通过3D特效展示了变速器内部结构及工作原理，可根据学习需要，重复学习重点或难懂的知识点。能够解决新能源汽车教学和实训中看不见、查不到、拆不开、无法重复使用等问题。（投标供应商需提供满足参数的系统功能截图）</w:t>
            </w:r>
            <w:r>
              <w:rPr>
                <w:rFonts w:hint="eastAsia" w:ascii="宋体" w:hAnsi="宋体" w:cs="宋体"/>
                <w:b/>
                <w:bCs/>
                <w:color w:val="auto"/>
                <w:sz w:val="24"/>
                <w:szCs w:val="24"/>
              </w:rPr>
              <w:t>提供符合要求的得0.5分，不提供不得分。</w:t>
            </w:r>
          </w:p>
        </w:tc>
        <w:tc>
          <w:tcPr>
            <w:tcW w:w="525" w:type="pct"/>
            <w:tcBorders>
              <w:top w:val="single" w:color="auto" w:sz="4" w:space="0"/>
              <w:left w:val="single" w:color="auto" w:sz="4" w:space="0"/>
              <w:bottom w:val="single" w:color="auto" w:sz="4" w:space="0"/>
              <w:right w:val="single" w:color="auto" w:sz="4" w:space="0"/>
            </w:tcBorders>
            <w:vAlign w:val="center"/>
          </w:tcPr>
          <w:p w14:paraId="36EAAC0D">
            <w:pPr>
              <w:widowControl/>
              <w:jc w:val="center"/>
              <w:textAlignment w:val="center"/>
              <w:rPr>
                <w:rFonts w:hint="eastAsia" w:ascii="宋体" w:hAnsi="宋体" w:cs="宋体"/>
                <w:color w:val="000000"/>
                <w:sz w:val="24"/>
                <w:szCs w:val="24"/>
              </w:rPr>
            </w:pPr>
            <w:r>
              <w:rPr>
                <w:rFonts w:hint="eastAsia" w:ascii="宋体" w:hAnsi="宋体" w:cs="宋体"/>
                <w:color w:val="000000"/>
                <w:sz w:val="24"/>
                <w:szCs w:val="24"/>
              </w:rPr>
              <w:t>0-6分</w:t>
            </w:r>
          </w:p>
        </w:tc>
        <w:tc>
          <w:tcPr>
            <w:tcW w:w="548" w:type="pct"/>
            <w:tcBorders>
              <w:top w:val="single" w:color="auto" w:sz="4" w:space="0"/>
              <w:left w:val="single" w:color="auto" w:sz="4" w:space="0"/>
              <w:bottom w:val="single" w:color="auto" w:sz="4" w:space="0"/>
              <w:right w:val="single" w:color="auto" w:sz="8" w:space="0"/>
            </w:tcBorders>
            <w:vAlign w:val="center"/>
          </w:tcPr>
          <w:p w14:paraId="63D740C4">
            <w:pPr>
              <w:jc w:val="center"/>
              <w:rPr>
                <w:rFonts w:hint="eastAsia" w:ascii="宋体" w:hAnsi="宋体" w:cs="宋体"/>
                <w:sz w:val="24"/>
                <w:szCs w:val="24"/>
              </w:rPr>
            </w:pPr>
            <w:r>
              <w:rPr>
                <w:rFonts w:hint="eastAsia" w:ascii="宋体" w:hAnsi="宋体" w:cs="宋体"/>
                <w:sz w:val="24"/>
                <w:szCs w:val="24"/>
              </w:rPr>
              <w:t>客观分</w:t>
            </w:r>
          </w:p>
        </w:tc>
      </w:tr>
      <w:tr w14:paraId="0D8EF72C">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2007" w:hRule="atLeast"/>
        </w:trPr>
        <w:tc>
          <w:tcPr>
            <w:tcW w:w="254" w:type="pct"/>
            <w:tcBorders>
              <w:left w:val="single" w:color="auto" w:sz="8" w:space="0"/>
              <w:right w:val="single" w:color="auto" w:sz="4" w:space="0"/>
            </w:tcBorders>
            <w:vAlign w:val="center"/>
          </w:tcPr>
          <w:p w14:paraId="5143D14E">
            <w:pPr>
              <w:widowControl/>
              <w:jc w:val="center"/>
              <w:rPr>
                <w:rFonts w:hint="eastAsia" w:ascii="宋体" w:hAnsi="宋体" w:cs="宋体"/>
                <w:sz w:val="24"/>
                <w:szCs w:val="24"/>
              </w:rPr>
            </w:pPr>
            <w:r>
              <w:rPr>
                <w:rFonts w:hint="eastAsia" w:ascii="宋体" w:hAnsi="宋体" w:cs="宋体"/>
                <w:sz w:val="24"/>
                <w:szCs w:val="24"/>
              </w:rPr>
              <w:t>14</w:t>
            </w:r>
          </w:p>
        </w:tc>
        <w:tc>
          <w:tcPr>
            <w:tcW w:w="371" w:type="pct"/>
            <w:tcBorders>
              <w:left w:val="single" w:color="auto" w:sz="4" w:space="0"/>
              <w:right w:val="single" w:color="auto" w:sz="4" w:space="0"/>
            </w:tcBorders>
            <w:shd w:val="clear" w:color="auto" w:fill="auto"/>
            <w:vAlign w:val="center"/>
          </w:tcPr>
          <w:p w14:paraId="31C19153">
            <w:pPr>
              <w:jc w:val="center"/>
              <w:rPr>
                <w:rFonts w:hint="eastAsia" w:ascii="宋体" w:hAnsi="宋体" w:cs="宋体"/>
                <w:color w:val="000000"/>
                <w:sz w:val="24"/>
                <w:szCs w:val="24"/>
              </w:rPr>
            </w:pPr>
            <w:r>
              <w:rPr>
                <w:rFonts w:hint="eastAsia" w:ascii="宋体" w:hAnsi="宋体" w:cs="宋体"/>
                <w:color w:val="000000"/>
                <w:sz w:val="24"/>
                <w:szCs w:val="24"/>
              </w:rPr>
              <w:t>技术</w:t>
            </w:r>
          </w:p>
        </w:tc>
        <w:tc>
          <w:tcPr>
            <w:tcW w:w="3302" w:type="pct"/>
            <w:tcBorders>
              <w:top w:val="single" w:color="auto" w:sz="4" w:space="0"/>
              <w:left w:val="single" w:color="auto" w:sz="4" w:space="0"/>
              <w:bottom w:val="single" w:color="auto" w:sz="4" w:space="0"/>
              <w:right w:val="single" w:color="auto" w:sz="4" w:space="0"/>
            </w:tcBorders>
            <w:shd w:val="clear" w:color="auto" w:fill="auto"/>
            <w:vAlign w:val="center"/>
          </w:tcPr>
          <w:p w14:paraId="69F0FDE2">
            <w:pPr>
              <w:rPr>
                <w:rFonts w:hint="eastAsia" w:ascii="宋体" w:hAnsi="宋体" w:cs="宋体"/>
                <w:color w:val="000000"/>
                <w:sz w:val="24"/>
                <w:szCs w:val="24"/>
              </w:rPr>
            </w:pPr>
            <w:r>
              <w:rPr>
                <w:rFonts w:hint="eastAsia" w:ascii="宋体" w:hAnsi="宋体" w:cs="宋体"/>
                <w:color w:val="000000"/>
                <w:sz w:val="24"/>
                <w:szCs w:val="24"/>
              </w:rPr>
              <w:t>审查投标人提供的实施方案的详尽程度、完善性、合理性及是否满足招标文件要求等方面。实施方案包括但不限于：实施进度、人员配备、安装验收方案等。</w:t>
            </w:r>
          </w:p>
          <w:p w14:paraId="5D48B40C">
            <w:pPr>
              <w:rPr>
                <w:rFonts w:hint="eastAsia" w:ascii="宋体" w:hAnsi="宋体" w:cs="宋体"/>
                <w:color w:val="000000"/>
                <w:sz w:val="24"/>
                <w:szCs w:val="24"/>
              </w:rPr>
            </w:pPr>
            <w:r>
              <w:rPr>
                <w:rFonts w:hint="eastAsia" w:ascii="宋体" w:hAnsi="宋体" w:cs="宋体"/>
                <w:color w:val="000000"/>
                <w:sz w:val="24"/>
                <w:szCs w:val="24"/>
              </w:rPr>
              <w:t>实施方案措施详细、完善、合理并完全满足采购需求，得4分；</w:t>
            </w:r>
          </w:p>
          <w:p w14:paraId="49300E3F">
            <w:pPr>
              <w:rPr>
                <w:rFonts w:hint="eastAsia" w:ascii="宋体" w:hAnsi="宋体" w:cs="宋体"/>
                <w:color w:val="000000"/>
                <w:sz w:val="24"/>
                <w:szCs w:val="24"/>
              </w:rPr>
            </w:pPr>
            <w:r>
              <w:rPr>
                <w:rFonts w:hint="eastAsia" w:ascii="宋体" w:hAnsi="宋体" w:cs="宋体"/>
                <w:color w:val="000000"/>
                <w:sz w:val="24"/>
                <w:szCs w:val="24"/>
              </w:rPr>
              <w:t>实施方案措施较详细、完善、合理并基本满足采购需求，得2分；</w:t>
            </w:r>
          </w:p>
          <w:p w14:paraId="539F5137">
            <w:pPr>
              <w:rPr>
                <w:rFonts w:hint="eastAsia" w:ascii="宋体" w:hAnsi="宋体" w:cs="宋体"/>
                <w:color w:val="000000"/>
                <w:sz w:val="24"/>
                <w:szCs w:val="24"/>
              </w:rPr>
            </w:pPr>
            <w:r>
              <w:rPr>
                <w:rFonts w:hint="eastAsia" w:ascii="宋体" w:hAnsi="宋体" w:cs="宋体"/>
                <w:color w:val="000000"/>
                <w:sz w:val="24"/>
                <w:szCs w:val="24"/>
              </w:rPr>
              <w:t>实施方案措施不详细、基本不满足采购需求，得1分；</w:t>
            </w:r>
          </w:p>
          <w:p w14:paraId="21FB8C04">
            <w:pPr>
              <w:rPr>
                <w:rFonts w:hint="eastAsia" w:ascii="宋体" w:hAnsi="宋体" w:cs="宋体"/>
                <w:color w:val="000000"/>
                <w:sz w:val="24"/>
                <w:szCs w:val="24"/>
              </w:rPr>
            </w:pPr>
            <w:r>
              <w:rPr>
                <w:rFonts w:hint="eastAsia" w:ascii="宋体" w:hAnsi="宋体" w:cs="宋体"/>
                <w:color w:val="000000"/>
                <w:sz w:val="24"/>
                <w:szCs w:val="24"/>
              </w:rPr>
              <w:t>未提供或完全不满足采购需求，得0分。</w:t>
            </w:r>
          </w:p>
        </w:tc>
        <w:tc>
          <w:tcPr>
            <w:tcW w:w="525" w:type="pct"/>
            <w:tcBorders>
              <w:top w:val="single" w:color="auto" w:sz="4" w:space="0"/>
              <w:left w:val="single" w:color="auto" w:sz="4" w:space="0"/>
              <w:bottom w:val="single" w:color="auto" w:sz="4" w:space="0"/>
              <w:right w:val="single" w:color="auto" w:sz="4" w:space="0"/>
            </w:tcBorders>
            <w:vAlign w:val="center"/>
          </w:tcPr>
          <w:p w14:paraId="4A37318C">
            <w:pPr>
              <w:jc w:val="center"/>
              <w:rPr>
                <w:rFonts w:hint="eastAsia" w:ascii="宋体" w:hAnsi="宋体" w:cs="宋体"/>
                <w:sz w:val="24"/>
                <w:szCs w:val="24"/>
              </w:rPr>
            </w:pPr>
            <w:r>
              <w:rPr>
                <w:rFonts w:hint="eastAsia" w:ascii="宋体" w:hAnsi="宋体" w:cs="宋体"/>
                <w:sz w:val="24"/>
                <w:szCs w:val="24"/>
              </w:rPr>
              <w:t>0-4</w:t>
            </w:r>
            <w:r>
              <w:rPr>
                <w:rFonts w:hint="eastAsia" w:ascii="宋体" w:hAnsi="宋体" w:cs="宋体"/>
                <w:color w:val="000000"/>
                <w:sz w:val="24"/>
                <w:szCs w:val="24"/>
              </w:rPr>
              <w:t>分</w:t>
            </w:r>
          </w:p>
        </w:tc>
        <w:tc>
          <w:tcPr>
            <w:tcW w:w="548" w:type="pct"/>
            <w:tcBorders>
              <w:top w:val="single" w:color="auto" w:sz="4" w:space="0"/>
              <w:left w:val="single" w:color="auto" w:sz="4" w:space="0"/>
              <w:bottom w:val="single" w:color="auto" w:sz="4" w:space="0"/>
              <w:right w:val="single" w:color="auto" w:sz="8" w:space="0"/>
            </w:tcBorders>
            <w:vAlign w:val="center"/>
          </w:tcPr>
          <w:p w14:paraId="42749543">
            <w:pPr>
              <w:jc w:val="center"/>
              <w:rPr>
                <w:rFonts w:hint="eastAsia" w:ascii="宋体" w:hAnsi="宋体" w:cs="宋体"/>
                <w:sz w:val="24"/>
                <w:szCs w:val="24"/>
              </w:rPr>
            </w:pPr>
            <w:r>
              <w:rPr>
                <w:rFonts w:hint="eastAsia" w:ascii="宋体" w:hAnsi="宋体" w:cs="宋体"/>
                <w:sz w:val="24"/>
                <w:szCs w:val="24"/>
              </w:rPr>
              <w:t>主观分</w:t>
            </w:r>
          </w:p>
        </w:tc>
      </w:tr>
      <w:tr w14:paraId="07A5E7EE">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254" w:type="pct"/>
            <w:tcBorders>
              <w:left w:val="single" w:color="auto" w:sz="8" w:space="0"/>
              <w:right w:val="single" w:color="auto" w:sz="4" w:space="0"/>
            </w:tcBorders>
            <w:vAlign w:val="center"/>
          </w:tcPr>
          <w:p w14:paraId="40ACFF91">
            <w:pPr>
              <w:widowControl/>
              <w:jc w:val="center"/>
              <w:rPr>
                <w:rFonts w:hint="eastAsia" w:ascii="宋体" w:hAnsi="宋体" w:cs="宋体"/>
                <w:sz w:val="24"/>
                <w:szCs w:val="24"/>
              </w:rPr>
            </w:pPr>
            <w:r>
              <w:rPr>
                <w:rFonts w:hint="eastAsia" w:ascii="宋体" w:hAnsi="宋体" w:cs="宋体"/>
                <w:sz w:val="24"/>
                <w:szCs w:val="24"/>
              </w:rPr>
              <w:t>15</w:t>
            </w:r>
          </w:p>
        </w:tc>
        <w:tc>
          <w:tcPr>
            <w:tcW w:w="371" w:type="pct"/>
            <w:tcBorders>
              <w:left w:val="single" w:color="auto" w:sz="4" w:space="0"/>
              <w:right w:val="single" w:color="auto" w:sz="4" w:space="0"/>
            </w:tcBorders>
            <w:shd w:val="clear" w:color="auto" w:fill="auto"/>
            <w:vAlign w:val="center"/>
          </w:tcPr>
          <w:p w14:paraId="47D53A70">
            <w:pPr>
              <w:jc w:val="center"/>
              <w:rPr>
                <w:rFonts w:hint="eastAsia" w:ascii="宋体" w:hAnsi="宋体" w:cs="宋体"/>
                <w:color w:val="000000"/>
                <w:sz w:val="24"/>
                <w:szCs w:val="24"/>
              </w:rPr>
            </w:pPr>
            <w:r>
              <w:rPr>
                <w:rFonts w:hint="eastAsia" w:ascii="宋体" w:hAnsi="宋体" w:cs="宋体"/>
                <w:color w:val="000000"/>
                <w:sz w:val="24"/>
                <w:szCs w:val="24"/>
              </w:rPr>
              <w:t>技术</w:t>
            </w:r>
          </w:p>
        </w:tc>
        <w:tc>
          <w:tcPr>
            <w:tcW w:w="3302" w:type="pct"/>
            <w:tcBorders>
              <w:top w:val="single" w:color="auto" w:sz="4" w:space="0"/>
              <w:left w:val="single" w:color="auto" w:sz="4" w:space="0"/>
              <w:bottom w:val="single" w:color="auto" w:sz="4" w:space="0"/>
              <w:right w:val="single" w:color="auto" w:sz="4" w:space="0"/>
            </w:tcBorders>
            <w:shd w:val="clear" w:color="auto" w:fill="auto"/>
            <w:vAlign w:val="center"/>
          </w:tcPr>
          <w:p w14:paraId="5A2FAF94">
            <w:pPr>
              <w:rPr>
                <w:rFonts w:hint="eastAsia" w:ascii="宋体" w:hAnsi="宋体" w:cs="宋体"/>
                <w:color w:val="000000"/>
                <w:sz w:val="24"/>
                <w:szCs w:val="24"/>
              </w:rPr>
            </w:pPr>
            <w:r>
              <w:rPr>
                <w:rFonts w:hint="eastAsia" w:ascii="宋体" w:hAnsi="宋体" w:cs="宋体"/>
                <w:color w:val="000000"/>
                <w:sz w:val="24"/>
                <w:szCs w:val="24"/>
              </w:rPr>
              <w:t>提供供货及实施方案：</w:t>
            </w:r>
          </w:p>
          <w:p w14:paraId="726FB93F">
            <w:pPr>
              <w:rPr>
                <w:rFonts w:hint="eastAsia" w:ascii="宋体" w:hAnsi="宋体" w:cs="宋体"/>
                <w:color w:val="000000"/>
                <w:sz w:val="24"/>
                <w:szCs w:val="24"/>
              </w:rPr>
            </w:pPr>
            <w:r>
              <w:rPr>
                <w:rFonts w:hint="eastAsia" w:ascii="宋体" w:hAnsi="宋体" w:cs="宋体"/>
                <w:color w:val="000000"/>
                <w:sz w:val="24"/>
                <w:szCs w:val="24"/>
              </w:rPr>
              <w:t>供货实施方案措施详细、完善、合理并完全满足采购需求，得4分；</w:t>
            </w:r>
          </w:p>
          <w:p w14:paraId="4322A916">
            <w:pPr>
              <w:rPr>
                <w:rFonts w:hint="eastAsia" w:ascii="宋体" w:hAnsi="宋体" w:cs="宋体"/>
                <w:color w:val="000000"/>
                <w:sz w:val="24"/>
                <w:szCs w:val="24"/>
              </w:rPr>
            </w:pPr>
            <w:r>
              <w:rPr>
                <w:rFonts w:hint="eastAsia" w:ascii="宋体" w:hAnsi="宋体" w:cs="宋体"/>
                <w:color w:val="000000"/>
                <w:sz w:val="24"/>
                <w:szCs w:val="24"/>
              </w:rPr>
              <w:t>供货及实施方案措施较详细、完善、合理并基本满足采购需求，得2分；</w:t>
            </w:r>
          </w:p>
          <w:p w14:paraId="23BD8CEE">
            <w:pPr>
              <w:rPr>
                <w:rFonts w:hint="eastAsia" w:ascii="宋体" w:hAnsi="宋体" w:cs="宋体"/>
                <w:color w:val="000000"/>
                <w:sz w:val="24"/>
                <w:szCs w:val="24"/>
              </w:rPr>
            </w:pPr>
            <w:r>
              <w:rPr>
                <w:rFonts w:hint="eastAsia" w:ascii="宋体" w:hAnsi="宋体" w:cs="宋体"/>
                <w:color w:val="000000"/>
                <w:sz w:val="24"/>
                <w:szCs w:val="24"/>
              </w:rPr>
              <w:t>供货及实施方案不详细、基本不满足采购需求，得1分；</w:t>
            </w:r>
          </w:p>
          <w:p w14:paraId="39D45B6E">
            <w:pPr>
              <w:rPr>
                <w:rFonts w:hint="eastAsia" w:ascii="宋体" w:hAnsi="宋体" w:cs="宋体"/>
                <w:color w:val="000000"/>
                <w:sz w:val="24"/>
                <w:szCs w:val="24"/>
              </w:rPr>
            </w:pPr>
            <w:r>
              <w:rPr>
                <w:rFonts w:hint="eastAsia" w:ascii="宋体" w:hAnsi="宋体" w:cs="宋体"/>
                <w:color w:val="000000"/>
                <w:sz w:val="24"/>
                <w:szCs w:val="24"/>
              </w:rPr>
              <w:t>供货及实施方案未提供或完全不满足采购需求，得 0 分。</w:t>
            </w:r>
          </w:p>
        </w:tc>
        <w:tc>
          <w:tcPr>
            <w:tcW w:w="525" w:type="pct"/>
            <w:tcBorders>
              <w:top w:val="single" w:color="auto" w:sz="4" w:space="0"/>
              <w:left w:val="single" w:color="auto" w:sz="4" w:space="0"/>
              <w:bottom w:val="single" w:color="auto" w:sz="4" w:space="0"/>
              <w:right w:val="single" w:color="auto" w:sz="4" w:space="0"/>
            </w:tcBorders>
            <w:vAlign w:val="center"/>
          </w:tcPr>
          <w:p w14:paraId="22C4640E">
            <w:pPr>
              <w:jc w:val="center"/>
              <w:rPr>
                <w:rFonts w:hint="eastAsia" w:ascii="宋体" w:hAnsi="宋体" w:cs="宋体"/>
                <w:kern w:val="0"/>
                <w:sz w:val="24"/>
                <w:szCs w:val="24"/>
                <w:lang w:bidi="ar"/>
              </w:rPr>
            </w:pPr>
            <w:r>
              <w:rPr>
                <w:rFonts w:hint="eastAsia" w:ascii="宋体" w:hAnsi="宋体" w:cs="宋体"/>
                <w:kern w:val="0"/>
                <w:sz w:val="24"/>
                <w:szCs w:val="24"/>
                <w:lang w:bidi="ar"/>
              </w:rPr>
              <w:t>0-4</w:t>
            </w:r>
            <w:r>
              <w:rPr>
                <w:rFonts w:hint="eastAsia" w:ascii="宋体" w:hAnsi="宋体" w:cs="宋体"/>
                <w:color w:val="000000"/>
                <w:sz w:val="24"/>
                <w:szCs w:val="24"/>
              </w:rPr>
              <w:t>分</w:t>
            </w:r>
          </w:p>
        </w:tc>
        <w:tc>
          <w:tcPr>
            <w:tcW w:w="548" w:type="pct"/>
            <w:tcBorders>
              <w:top w:val="single" w:color="auto" w:sz="4" w:space="0"/>
              <w:left w:val="single" w:color="auto" w:sz="4" w:space="0"/>
              <w:bottom w:val="single" w:color="auto" w:sz="4" w:space="0"/>
              <w:right w:val="single" w:color="auto" w:sz="8" w:space="0"/>
            </w:tcBorders>
            <w:vAlign w:val="center"/>
          </w:tcPr>
          <w:p w14:paraId="633F1F70">
            <w:pPr>
              <w:jc w:val="center"/>
              <w:rPr>
                <w:rFonts w:hint="eastAsia" w:ascii="宋体" w:hAnsi="宋体" w:cs="宋体"/>
                <w:sz w:val="24"/>
                <w:szCs w:val="24"/>
              </w:rPr>
            </w:pPr>
            <w:r>
              <w:rPr>
                <w:rFonts w:hint="eastAsia" w:ascii="宋体" w:hAnsi="宋体" w:cs="宋体"/>
                <w:sz w:val="24"/>
                <w:szCs w:val="24"/>
              </w:rPr>
              <w:t>主观分</w:t>
            </w:r>
          </w:p>
        </w:tc>
      </w:tr>
      <w:tr w14:paraId="17F68DB3">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310" w:hRule="atLeast"/>
        </w:trPr>
        <w:tc>
          <w:tcPr>
            <w:tcW w:w="254" w:type="pct"/>
            <w:tcBorders>
              <w:left w:val="single" w:color="auto" w:sz="8" w:space="0"/>
              <w:right w:val="single" w:color="auto" w:sz="4" w:space="0"/>
            </w:tcBorders>
            <w:vAlign w:val="center"/>
          </w:tcPr>
          <w:p w14:paraId="02BF3995">
            <w:pPr>
              <w:jc w:val="center"/>
              <w:rPr>
                <w:rFonts w:hint="eastAsia" w:ascii="宋体" w:hAnsi="宋体" w:cs="宋体"/>
                <w:kern w:val="0"/>
                <w:sz w:val="24"/>
                <w:szCs w:val="24"/>
                <w:lang w:bidi="ar"/>
              </w:rPr>
            </w:pPr>
            <w:r>
              <w:rPr>
                <w:rFonts w:hint="eastAsia" w:ascii="宋体" w:hAnsi="宋体" w:cs="宋体"/>
                <w:kern w:val="0"/>
                <w:sz w:val="24"/>
                <w:szCs w:val="24"/>
                <w:lang w:bidi="ar"/>
              </w:rPr>
              <w:t>16</w:t>
            </w:r>
          </w:p>
        </w:tc>
        <w:tc>
          <w:tcPr>
            <w:tcW w:w="371" w:type="pct"/>
            <w:tcBorders>
              <w:left w:val="single" w:color="auto" w:sz="4" w:space="0"/>
              <w:right w:val="single" w:color="auto" w:sz="4" w:space="0"/>
            </w:tcBorders>
            <w:vAlign w:val="center"/>
          </w:tcPr>
          <w:p w14:paraId="7D10AB5E">
            <w:pPr>
              <w:jc w:val="center"/>
              <w:rPr>
                <w:rFonts w:hint="eastAsia" w:ascii="宋体" w:hAnsi="宋体" w:cs="宋体"/>
                <w:sz w:val="24"/>
                <w:szCs w:val="24"/>
              </w:rPr>
            </w:pPr>
            <w:r>
              <w:rPr>
                <w:rFonts w:hint="eastAsia" w:ascii="宋体" w:hAnsi="宋体" w:cs="宋体"/>
                <w:color w:val="000000"/>
                <w:sz w:val="24"/>
                <w:szCs w:val="24"/>
              </w:rPr>
              <w:t>商务</w:t>
            </w:r>
          </w:p>
        </w:tc>
        <w:tc>
          <w:tcPr>
            <w:tcW w:w="3302" w:type="pct"/>
            <w:tcBorders>
              <w:top w:val="single" w:color="auto" w:sz="4" w:space="0"/>
              <w:left w:val="single" w:color="auto" w:sz="4" w:space="0"/>
              <w:bottom w:val="single" w:color="auto" w:sz="4" w:space="0"/>
              <w:right w:val="single" w:color="auto" w:sz="4" w:space="0"/>
            </w:tcBorders>
            <w:vAlign w:val="center"/>
          </w:tcPr>
          <w:p w14:paraId="038B35BB">
            <w:pPr>
              <w:jc w:val="left"/>
              <w:rPr>
                <w:rFonts w:hint="eastAsia" w:ascii="宋体" w:hAnsi="宋体" w:cs="宋体"/>
                <w:sz w:val="24"/>
                <w:szCs w:val="24"/>
              </w:rPr>
            </w:pPr>
            <w:r>
              <w:rPr>
                <w:rFonts w:hint="eastAsia" w:ascii="宋体" w:hAnsi="宋体" w:cs="宋体"/>
                <w:sz w:val="24"/>
                <w:szCs w:val="24"/>
              </w:rPr>
              <w:t>投标文件中需提供所属汽车专业培训教师同时具有高级教师资格证、汽车维修二级以上（包含二级）技师证，</w:t>
            </w:r>
            <w:r>
              <w:rPr>
                <w:rFonts w:hint="eastAsia" w:ascii="宋体" w:hAnsi="宋体" w:cs="宋体"/>
                <w:b/>
                <w:bCs/>
                <w:sz w:val="24"/>
                <w:szCs w:val="24"/>
              </w:rPr>
              <w:t>提供得3分，不提供不得分。</w:t>
            </w:r>
          </w:p>
        </w:tc>
        <w:tc>
          <w:tcPr>
            <w:tcW w:w="525" w:type="pct"/>
            <w:tcBorders>
              <w:top w:val="single" w:color="auto" w:sz="4" w:space="0"/>
              <w:left w:val="single" w:color="auto" w:sz="4" w:space="0"/>
              <w:bottom w:val="single" w:color="auto" w:sz="4" w:space="0"/>
              <w:right w:val="single" w:color="auto" w:sz="4" w:space="0"/>
            </w:tcBorders>
            <w:vAlign w:val="center"/>
          </w:tcPr>
          <w:p w14:paraId="0E9905CD">
            <w:pPr>
              <w:jc w:val="center"/>
              <w:rPr>
                <w:rFonts w:hint="eastAsia" w:ascii="宋体" w:hAnsi="宋体" w:cs="宋体"/>
                <w:color w:val="000000"/>
                <w:sz w:val="24"/>
                <w:szCs w:val="24"/>
              </w:rPr>
            </w:pPr>
            <w:r>
              <w:rPr>
                <w:rFonts w:hint="eastAsia" w:ascii="宋体" w:hAnsi="宋体" w:cs="宋体"/>
                <w:color w:val="000000"/>
                <w:sz w:val="24"/>
                <w:szCs w:val="24"/>
              </w:rPr>
              <w:t>0-3分</w:t>
            </w:r>
          </w:p>
        </w:tc>
        <w:tc>
          <w:tcPr>
            <w:tcW w:w="548" w:type="pct"/>
            <w:tcBorders>
              <w:top w:val="single" w:color="auto" w:sz="4" w:space="0"/>
              <w:left w:val="single" w:color="auto" w:sz="4" w:space="0"/>
              <w:bottom w:val="single" w:color="auto" w:sz="4" w:space="0"/>
              <w:right w:val="single" w:color="auto" w:sz="8" w:space="0"/>
            </w:tcBorders>
            <w:vAlign w:val="center"/>
          </w:tcPr>
          <w:p w14:paraId="1F804C29">
            <w:pPr>
              <w:jc w:val="center"/>
              <w:rPr>
                <w:rFonts w:hint="eastAsia" w:ascii="宋体" w:hAnsi="宋体" w:cs="宋体"/>
                <w:sz w:val="24"/>
                <w:szCs w:val="24"/>
              </w:rPr>
            </w:pPr>
            <w:r>
              <w:rPr>
                <w:rFonts w:hint="eastAsia" w:ascii="宋体" w:hAnsi="宋体" w:cs="宋体"/>
                <w:sz w:val="24"/>
                <w:szCs w:val="24"/>
              </w:rPr>
              <w:t>客观分</w:t>
            </w:r>
          </w:p>
        </w:tc>
      </w:tr>
      <w:tr w14:paraId="6C3249BA">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254" w:type="pct"/>
            <w:tcBorders>
              <w:left w:val="single" w:color="auto" w:sz="8" w:space="0"/>
              <w:right w:val="single" w:color="auto" w:sz="4" w:space="0"/>
            </w:tcBorders>
            <w:vAlign w:val="center"/>
          </w:tcPr>
          <w:p w14:paraId="68A6C678">
            <w:pPr>
              <w:jc w:val="center"/>
              <w:rPr>
                <w:rFonts w:hint="eastAsia" w:ascii="宋体" w:hAnsi="宋体" w:cs="宋体"/>
                <w:sz w:val="24"/>
                <w:szCs w:val="24"/>
              </w:rPr>
            </w:pPr>
            <w:r>
              <w:rPr>
                <w:rFonts w:hint="eastAsia" w:ascii="宋体" w:hAnsi="宋体" w:cs="宋体"/>
                <w:sz w:val="24"/>
                <w:szCs w:val="24"/>
              </w:rPr>
              <w:t>17</w:t>
            </w:r>
          </w:p>
        </w:tc>
        <w:tc>
          <w:tcPr>
            <w:tcW w:w="371" w:type="pct"/>
            <w:tcBorders>
              <w:left w:val="single" w:color="auto" w:sz="4" w:space="0"/>
              <w:right w:val="single" w:color="auto" w:sz="4" w:space="0"/>
            </w:tcBorders>
            <w:vAlign w:val="center"/>
          </w:tcPr>
          <w:p w14:paraId="6118DD82">
            <w:pPr>
              <w:jc w:val="center"/>
              <w:rPr>
                <w:rFonts w:hint="eastAsia" w:ascii="宋体" w:hAnsi="宋体" w:cs="宋体"/>
                <w:sz w:val="24"/>
                <w:szCs w:val="24"/>
              </w:rPr>
            </w:pPr>
            <w:r>
              <w:rPr>
                <w:rFonts w:hint="eastAsia" w:ascii="宋体" w:hAnsi="宋体" w:cs="宋体"/>
                <w:color w:val="000000"/>
                <w:sz w:val="24"/>
                <w:szCs w:val="24"/>
              </w:rPr>
              <w:t>技术</w:t>
            </w:r>
          </w:p>
        </w:tc>
        <w:tc>
          <w:tcPr>
            <w:tcW w:w="3302" w:type="pct"/>
            <w:tcBorders>
              <w:top w:val="single" w:color="auto" w:sz="4" w:space="0"/>
              <w:left w:val="single" w:color="auto" w:sz="4" w:space="0"/>
              <w:bottom w:val="single" w:color="auto" w:sz="4" w:space="0"/>
              <w:right w:val="single" w:color="auto" w:sz="4" w:space="0"/>
            </w:tcBorders>
            <w:vAlign w:val="center"/>
          </w:tcPr>
          <w:p w14:paraId="11F69DFE">
            <w:pPr>
              <w:jc w:val="left"/>
              <w:rPr>
                <w:rFonts w:hint="eastAsia" w:ascii="宋体" w:hAnsi="宋体" w:cs="宋体"/>
                <w:sz w:val="24"/>
                <w:szCs w:val="24"/>
              </w:rPr>
            </w:pPr>
            <w:r>
              <w:rPr>
                <w:rFonts w:hint="eastAsia" w:ascii="宋体" w:hAnsi="宋体" w:cs="宋体"/>
                <w:sz w:val="24"/>
                <w:szCs w:val="24"/>
              </w:rPr>
              <w:t>具有完善的培训方案以及具体的培训措施方案，培训服务流程、培训问题响应、应急处理等。有完整合理针对性和可行性，得3分；方案较科学合理，有较完整合理针对性和可行性，得2分；方案基本可行，满足项目需要，得1分；不提供不得分。</w:t>
            </w:r>
          </w:p>
        </w:tc>
        <w:tc>
          <w:tcPr>
            <w:tcW w:w="525" w:type="pct"/>
            <w:tcBorders>
              <w:top w:val="single" w:color="auto" w:sz="4" w:space="0"/>
              <w:left w:val="single" w:color="auto" w:sz="4" w:space="0"/>
              <w:bottom w:val="single" w:color="auto" w:sz="4" w:space="0"/>
              <w:right w:val="single" w:color="auto" w:sz="4" w:space="0"/>
            </w:tcBorders>
            <w:vAlign w:val="center"/>
          </w:tcPr>
          <w:p w14:paraId="3D17E3FA">
            <w:pPr>
              <w:jc w:val="center"/>
              <w:rPr>
                <w:rFonts w:hint="eastAsia" w:ascii="宋体" w:hAnsi="宋体" w:cs="宋体"/>
                <w:sz w:val="24"/>
                <w:szCs w:val="24"/>
              </w:rPr>
            </w:pPr>
            <w:r>
              <w:rPr>
                <w:rFonts w:hint="eastAsia" w:ascii="宋体" w:hAnsi="宋体" w:cs="宋体"/>
                <w:sz w:val="24"/>
                <w:szCs w:val="24"/>
              </w:rPr>
              <w:t>0-3分</w:t>
            </w:r>
          </w:p>
        </w:tc>
        <w:tc>
          <w:tcPr>
            <w:tcW w:w="548" w:type="pct"/>
            <w:tcBorders>
              <w:top w:val="single" w:color="auto" w:sz="4" w:space="0"/>
              <w:left w:val="single" w:color="auto" w:sz="4" w:space="0"/>
              <w:bottom w:val="single" w:color="auto" w:sz="4" w:space="0"/>
              <w:right w:val="single" w:color="auto" w:sz="8" w:space="0"/>
            </w:tcBorders>
            <w:vAlign w:val="center"/>
          </w:tcPr>
          <w:p w14:paraId="5891CB54">
            <w:pPr>
              <w:jc w:val="center"/>
              <w:rPr>
                <w:rFonts w:hint="eastAsia" w:ascii="宋体" w:hAnsi="宋体" w:cs="宋体"/>
                <w:sz w:val="24"/>
                <w:szCs w:val="24"/>
              </w:rPr>
            </w:pPr>
            <w:r>
              <w:rPr>
                <w:rFonts w:hint="eastAsia" w:ascii="宋体" w:hAnsi="宋体" w:cs="宋体"/>
                <w:sz w:val="24"/>
                <w:szCs w:val="24"/>
              </w:rPr>
              <w:t>主观分</w:t>
            </w:r>
          </w:p>
        </w:tc>
      </w:tr>
      <w:tr w14:paraId="6B475D1C">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377" w:hRule="atLeast"/>
        </w:trPr>
        <w:tc>
          <w:tcPr>
            <w:tcW w:w="254" w:type="pct"/>
            <w:tcBorders>
              <w:top w:val="single" w:color="auto" w:sz="4" w:space="0"/>
              <w:left w:val="single" w:color="auto" w:sz="8" w:space="0"/>
              <w:bottom w:val="single" w:color="auto" w:sz="4" w:space="0"/>
              <w:right w:val="single" w:color="auto" w:sz="4" w:space="0"/>
            </w:tcBorders>
            <w:vAlign w:val="center"/>
          </w:tcPr>
          <w:p w14:paraId="60435A35">
            <w:pPr>
              <w:jc w:val="center"/>
              <w:rPr>
                <w:rFonts w:hint="eastAsia" w:ascii="宋体" w:hAnsi="宋体" w:cs="宋体"/>
                <w:color w:val="000000"/>
                <w:sz w:val="24"/>
                <w:szCs w:val="24"/>
              </w:rPr>
            </w:pPr>
            <w:r>
              <w:rPr>
                <w:rFonts w:hint="eastAsia" w:ascii="宋体" w:hAnsi="宋体" w:cs="宋体"/>
                <w:color w:val="000000"/>
                <w:sz w:val="24"/>
                <w:szCs w:val="24"/>
              </w:rPr>
              <w:t>18</w:t>
            </w:r>
          </w:p>
        </w:tc>
        <w:tc>
          <w:tcPr>
            <w:tcW w:w="371" w:type="pct"/>
            <w:tcBorders>
              <w:top w:val="single" w:color="auto" w:sz="4" w:space="0"/>
              <w:left w:val="single" w:color="auto" w:sz="4" w:space="0"/>
              <w:bottom w:val="single" w:color="auto" w:sz="4" w:space="0"/>
              <w:right w:val="single" w:color="auto" w:sz="4" w:space="0"/>
            </w:tcBorders>
            <w:vAlign w:val="center"/>
          </w:tcPr>
          <w:p w14:paraId="12E883FD">
            <w:pPr>
              <w:jc w:val="center"/>
              <w:rPr>
                <w:rFonts w:hint="eastAsia" w:ascii="宋体" w:hAnsi="宋体" w:cs="宋体"/>
                <w:kern w:val="0"/>
                <w:sz w:val="24"/>
                <w:szCs w:val="24"/>
              </w:rPr>
            </w:pPr>
            <w:r>
              <w:rPr>
                <w:rFonts w:hint="eastAsia" w:ascii="宋体" w:hAnsi="宋体" w:cs="宋体"/>
                <w:kern w:val="0"/>
                <w:sz w:val="24"/>
                <w:szCs w:val="24"/>
              </w:rPr>
              <w:t>商务</w:t>
            </w:r>
          </w:p>
        </w:tc>
        <w:tc>
          <w:tcPr>
            <w:tcW w:w="3302" w:type="pct"/>
            <w:tcBorders>
              <w:top w:val="single" w:color="auto" w:sz="4" w:space="0"/>
              <w:left w:val="single" w:color="auto" w:sz="4" w:space="0"/>
              <w:bottom w:val="single" w:color="auto" w:sz="4" w:space="0"/>
              <w:right w:val="single" w:color="auto" w:sz="4" w:space="0"/>
            </w:tcBorders>
            <w:vAlign w:val="center"/>
          </w:tcPr>
          <w:p w14:paraId="7D1C477D">
            <w:pPr>
              <w:rPr>
                <w:rFonts w:hint="eastAsia" w:ascii="宋体" w:hAnsi="宋体" w:cs="宋体"/>
                <w:kern w:val="0"/>
                <w:sz w:val="24"/>
                <w:szCs w:val="24"/>
              </w:rPr>
            </w:pPr>
            <w:r>
              <w:rPr>
                <w:rFonts w:hint="eastAsia" w:ascii="宋体" w:hAnsi="宋体" w:cs="宋体"/>
                <w:sz w:val="24"/>
                <w:szCs w:val="24"/>
              </w:rPr>
              <w:t>投标人近三年来(2022年至今)有类似项目业绩，每提供一项得1分（提供合同复印件或中标通知书），</w:t>
            </w:r>
            <w:r>
              <w:rPr>
                <w:rFonts w:hint="eastAsia" w:ascii="宋体" w:hAnsi="宋体" w:cs="宋体"/>
                <w:b/>
                <w:bCs/>
                <w:sz w:val="24"/>
                <w:szCs w:val="24"/>
              </w:rPr>
              <w:t>最多得2分，不提供不得分。</w:t>
            </w:r>
          </w:p>
        </w:tc>
        <w:tc>
          <w:tcPr>
            <w:tcW w:w="525" w:type="pct"/>
            <w:tcBorders>
              <w:top w:val="single" w:color="auto" w:sz="4" w:space="0"/>
              <w:left w:val="single" w:color="auto" w:sz="4" w:space="0"/>
              <w:bottom w:val="single" w:color="auto" w:sz="4" w:space="0"/>
              <w:right w:val="single" w:color="auto" w:sz="4" w:space="0"/>
            </w:tcBorders>
            <w:vAlign w:val="center"/>
          </w:tcPr>
          <w:p w14:paraId="40EF8AA9">
            <w:pPr>
              <w:jc w:val="center"/>
              <w:rPr>
                <w:rFonts w:hint="eastAsia" w:ascii="宋体" w:hAnsi="宋体" w:cs="宋体"/>
                <w:sz w:val="24"/>
                <w:szCs w:val="24"/>
              </w:rPr>
            </w:pPr>
            <w:r>
              <w:rPr>
                <w:rFonts w:hint="eastAsia" w:ascii="宋体" w:hAnsi="宋体" w:cs="宋体"/>
                <w:sz w:val="24"/>
                <w:szCs w:val="24"/>
              </w:rPr>
              <w:t>0-2分</w:t>
            </w:r>
          </w:p>
        </w:tc>
        <w:tc>
          <w:tcPr>
            <w:tcW w:w="548" w:type="pct"/>
            <w:tcBorders>
              <w:top w:val="single" w:color="auto" w:sz="4" w:space="0"/>
              <w:left w:val="single" w:color="auto" w:sz="4" w:space="0"/>
              <w:bottom w:val="single" w:color="auto" w:sz="4" w:space="0"/>
              <w:right w:val="single" w:color="auto" w:sz="8" w:space="0"/>
            </w:tcBorders>
            <w:vAlign w:val="center"/>
          </w:tcPr>
          <w:p w14:paraId="40A73FCC">
            <w:pPr>
              <w:jc w:val="center"/>
              <w:rPr>
                <w:rFonts w:hint="eastAsia" w:ascii="宋体" w:hAnsi="宋体" w:cs="宋体"/>
                <w:sz w:val="24"/>
                <w:szCs w:val="24"/>
              </w:rPr>
            </w:pPr>
            <w:r>
              <w:rPr>
                <w:rFonts w:hint="eastAsia" w:ascii="宋体" w:hAnsi="宋体" w:cs="宋体"/>
                <w:sz w:val="24"/>
                <w:szCs w:val="24"/>
              </w:rPr>
              <w:t>客观分</w:t>
            </w:r>
          </w:p>
        </w:tc>
      </w:tr>
      <w:tr w14:paraId="2B60F177">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377" w:hRule="atLeast"/>
        </w:trPr>
        <w:tc>
          <w:tcPr>
            <w:tcW w:w="254" w:type="pct"/>
            <w:tcBorders>
              <w:top w:val="single" w:color="auto" w:sz="4" w:space="0"/>
              <w:left w:val="single" w:color="auto" w:sz="8" w:space="0"/>
              <w:bottom w:val="single" w:color="auto" w:sz="4" w:space="0"/>
              <w:right w:val="single" w:color="auto" w:sz="4" w:space="0"/>
            </w:tcBorders>
            <w:vAlign w:val="center"/>
          </w:tcPr>
          <w:p w14:paraId="2BCBD982">
            <w:pPr>
              <w:jc w:val="center"/>
              <w:rPr>
                <w:rFonts w:hint="eastAsia" w:ascii="宋体" w:hAnsi="宋体" w:cs="宋体"/>
                <w:color w:val="000000"/>
                <w:sz w:val="24"/>
                <w:szCs w:val="24"/>
              </w:rPr>
            </w:pPr>
            <w:r>
              <w:rPr>
                <w:rFonts w:hint="eastAsia" w:ascii="宋体" w:hAnsi="宋体" w:cs="宋体"/>
                <w:color w:val="000000"/>
                <w:sz w:val="24"/>
                <w:szCs w:val="24"/>
              </w:rPr>
              <w:t>19</w:t>
            </w:r>
          </w:p>
        </w:tc>
        <w:tc>
          <w:tcPr>
            <w:tcW w:w="371" w:type="pct"/>
            <w:tcBorders>
              <w:top w:val="single" w:color="auto" w:sz="4" w:space="0"/>
              <w:left w:val="single" w:color="auto" w:sz="4" w:space="0"/>
              <w:bottom w:val="single" w:color="auto" w:sz="4" w:space="0"/>
              <w:right w:val="single" w:color="auto" w:sz="4" w:space="0"/>
            </w:tcBorders>
            <w:vAlign w:val="center"/>
          </w:tcPr>
          <w:p w14:paraId="46641E14">
            <w:pPr>
              <w:rPr>
                <w:rFonts w:hint="eastAsia" w:ascii="宋体" w:hAnsi="宋体" w:cs="宋体"/>
                <w:color w:val="auto"/>
                <w:sz w:val="24"/>
                <w:szCs w:val="24"/>
                <w:highlight w:val="none"/>
                <w:lang w:val="zh-CN"/>
              </w:rPr>
            </w:pPr>
            <w:r>
              <w:rPr>
                <w:rFonts w:hint="eastAsia" w:ascii="宋体" w:hAnsi="宋体" w:cs="宋体"/>
                <w:color w:val="auto"/>
                <w:sz w:val="24"/>
                <w:szCs w:val="24"/>
                <w:highlight w:val="none"/>
              </w:rPr>
              <w:t>商务</w:t>
            </w:r>
          </w:p>
        </w:tc>
        <w:tc>
          <w:tcPr>
            <w:tcW w:w="3302" w:type="pct"/>
            <w:tcBorders>
              <w:top w:val="single" w:color="auto" w:sz="4" w:space="0"/>
              <w:left w:val="single" w:color="auto" w:sz="4" w:space="0"/>
              <w:bottom w:val="single" w:color="auto" w:sz="4" w:space="0"/>
              <w:right w:val="single" w:color="auto" w:sz="4" w:space="0"/>
            </w:tcBorders>
            <w:vAlign w:val="center"/>
          </w:tcPr>
          <w:p w14:paraId="25A4EC19">
            <w:pPr>
              <w:rPr>
                <w:rFonts w:hint="eastAsia" w:ascii="宋体" w:hAnsi="宋体" w:cs="宋体"/>
                <w:color w:val="auto"/>
                <w:sz w:val="24"/>
                <w:szCs w:val="24"/>
                <w:highlight w:val="none"/>
              </w:rPr>
            </w:pPr>
            <w:bookmarkStart w:id="20" w:name="OLE_LINK4"/>
            <w:r>
              <w:rPr>
                <w:rFonts w:hint="eastAsia" w:ascii="宋体" w:hAnsi="宋体" w:cs="宋体"/>
                <w:color w:val="auto"/>
                <w:sz w:val="24"/>
                <w:szCs w:val="24"/>
                <w:highlight w:val="none"/>
              </w:rPr>
              <w:t>1、实训室管理系统：投标文件中需提供计算机软件著作权登记证书复印件并加盖投标人公章。提供得1分，不提供不得分。</w:t>
            </w:r>
          </w:p>
          <w:p w14:paraId="430244D0">
            <w:pPr>
              <w:rPr>
                <w:rFonts w:hint="eastAsia" w:ascii="宋体" w:hAnsi="宋体" w:cs="宋体"/>
                <w:color w:val="auto"/>
                <w:sz w:val="24"/>
                <w:szCs w:val="24"/>
                <w:highlight w:val="none"/>
              </w:rPr>
            </w:pPr>
            <w:r>
              <w:rPr>
                <w:rFonts w:hint="eastAsia" w:ascii="宋体" w:hAnsi="宋体" w:cs="宋体"/>
                <w:color w:val="auto"/>
                <w:sz w:val="24"/>
                <w:szCs w:val="24"/>
                <w:highlight w:val="none"/>
              </w:rPr>
              <w:t>2、</w:t>
            </w:r>
            <w:r>
              <w:rPr>
                <w:rFonts w:hint="eastAsia" w:ascii="宋体" w:hAnsi="宋体" w:cs="宋体"/>
                <w:color w:val="auto"/>
                <w:sz w:val="24"/>
                <w:szCs w:val="24"/>
                <w:highlight w:val="none"/>
                <w:lang w:val="en-US" w:eastAsia="zh-CN"/>
              </w:rPr>
              <w:t>提供投标人技术人员为职业院校客座教授或</w:t>
            </w:r>
            <w:r>
              <w:rPr>
                <w:rFonts w:hint="default" w:ascii="宋体" w:hAnsi="宋体" w:cs="宋体"/>
                <w:color w:val="auto"/>
                <w:sz w:val="24"/>
                <w:szCs w:val="24"/>
                <w:highlight w:val="none"/>
                <w:lang w:val="en-US" w:eastAsia="zh-CN"/>
              </w:rPr>
              <w:t>特聘讲师</w:t>
            </w:r>
            <w:r>
              <w:rPr>
                <w:rFonts w:hint="eastAsia" w:ascii="宋体" w:hAnsi="宋体" w:cs="宋体"/>
                <w:color w:val="auto"/>
                <w:sz w:val="24"/>
                <w:szCs w:val="24"/>
                <w:highlight w:val="none"/>
              </w:rPr>
              <w:t>的得2分，不提供不得分。标书内附</w:t>
            </w:r>
            <w:r>
              <w:rPr>
                <w:rFonts w:hint="eastAsia" w:ascii="宋体" w:hAnsi="宋体" w:cs="宋体"/>
                <w:color w:val="auto"/>
                <w:sz w:val="24"/>
                <w:szCs w:val="24"/>
                <w:highlight w:val="none"/>
                <w:lang w:val="en-US" w:eastAsia="zh-CN"/>
              </w:rPr>
              <w:t>相关</w:t>
            </w:r>
            <w:r>
              <w:rPr>
                <w:rFonts w:hint="eastAsia" w:ascii="宋体" w:hAnsi="宋体" w:cs="宋体"/>
                <w:color w:val="auto"/>
                <w:sz w:val="24"/>
                <w:szCs w:val="24"/>
                <w:highlight w:val="none"/>
              </w:rPr>
              <w:t>证书（证书为加盖颁发院校公章的正式证书）或证明材料并加盖公章。</w:t>
            </w:r>
          </w:p>
          <w:bookmarkEnd w:id="20"/>
          <w:p w14:paraId="4916AF36">
            <w:pPr>
              <w:rPr>
                <w:rFonts w:hint="eastAsia" w:ascii="宋体" w:hAnsi="宋体" w:cs="宋体"/>
                <w:color w:val="auto"/>
                <w:sz w:val="24"/>
                <w:szCs w:val="24"/>
                <w:highlight w:val="none"/>
              </w:rPr>
            </w:pPr>
            <w:r>
              <w:rPr>
                <w:rFonts w:hint="eastAsia" w:ascii="宋体" w:hAnsi="宋体" w:cs="宋体"/>
                <w:color w:val="auto"/>
                <w:sz w:val="24"/>
                <w:szCs w:val="24"/>
                <w:highlight w:val="none"/>
              </w:rPr>
              <w:t>3、新能源汽车驱动控制实训系统：投标文件中需提供计算机著作权证书复印件加盖投标人公章。提供得1分，不提供不得分。</w:t>
            </w:r>
          </w:p>
          <w:p w14:paraId="3F9F91B6">
            <w:pPr>
              <w:rPr>
                <w:rFonts w:hint="eastAsia" w:ascii="宋体" w:hAnsi="宋体" w:cs="宋体"/>
                <w:color w:val="auto"/>
                <w:sz w:val="24"/>
                <w:szCs w:val="24"/>
                <w:highlight w:val="none"/>
              </w:rPr>
            </w:pPr>
            <w:r>
              <w:rPr>
                <w:rFonts w:hint="eastAsia" w:ascii="宋体" w:hAnsi="宋体" w:cs="宋体"/>
                <w:color w:val="auto"/>
                <w:sz w:val="24"/>
                <w:szCs w:val="24"/>
                <w:highlight w:val="none"/>
              </w:rPr>
              <w:t>4、混合动力汽车原理交互软件：投标文件中需提供计算机著作权证书复印件加盖投标人公章。提供得1分，不提供不得分。</w:t>
            </w:r>
          </w:p>
        </w:tc>
        <w:tc>
          <w:tcPr>
            <w:tcW w:w="525" w:type="pct"/>
            <w:tcBorders>
              <w:top w:val="single" w:color="auto" w:sz="4" w:space="0"/>
              <w:left w:val="single" w:color="auto" w:sz="4" w:space="0"/>
              <w:bottom w:val="single" w:color="auto" w:sz="4" w:space="0"/>
              <w:right w:val="single" w:color="auto" w:sz="4" w:space="0"/>
            </w:tcBorders>
            <w:vAlign w:val="center"/>
          </w:tcPr>
          <w:p w14:paraId="67A5DB31">
            <w:pPr>
              <w:jc w:val="center"/>
              <w:rPr>
                <w:rFonts w:hint="eastAsia" w:ascii="宋体" w:hAnsi="宋体" w:cs="宋体"/>
                <w:sz w:val="24"/>
                <w:szCs w:val="24"/>
              </w:rPr>
            </w:pPr>
            <w:r>
              <w:rPr>
                <w:rFonts w:hint="eastAsia" w:ascii="宋体" w:hAnsi="宋体" w:cs="宋体"/>
                <w:sz w:val="24"/>
                <w:szCs w:val="24"/>
              </w:rPr>
              <w:t>0-5分</w:t>
            </w:r>
          </w:p>
        </w:tc>
        <w:tc>
          <w:tcPr>
            <w:tcW w:w="548" w:type="pct"/>
            <w:tcBorders>
              <w:top w:val="single" w:color="auto" w:sz="4" w:space="0"/>
              <w:left w:val="single" w:color="auto" w:sz="4" w:space="0"/>
              <w:bottom w:val="single" w:color="auto" w:sz="4" w:space="0"/>
              <w:right w:val="single" w:color="auto" w:sz="8" w:space="0"/>
            </w:tcBorders>
            <w:vAlign w:val="center"/>
          </w:tcPr>
          <w:p w14:paraId="60D6CC1A">
            <w:pPr>
              <w:jc w:val="center"/>
              <w:rPr>
                <w:rFonts w:hint="eastAsia" w:ascii="宋体" w:hAnsi="宋体" w:cs="宋体"/>
                <w:sz w:val="24"/>
                <w:szCs w:val="24"/>
              </w:rPr>
            </w:pPr>
            <w:r>
              <w:rPr>
                <w:rFonts w:hint="eastAsia" w:ascii="宋体" w:hAnsi="宋体" w:cs="宋体"/>
                <w:sz w:val="24"/>
                <w:szCs w:val="24"/>
              </w:rPr>
              <w:t>客观分</w:t>
            </w:r>
          </w:p>
        </w:tc>
      </w:tr>
      <w:tr w14:paraId="035EF019">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645" w:hRule="atLeast"/>
        </w:trPr>
        <w:tc>
          <w:tcPr>
            <w:tcW w:w="254" w:type="pct"/>
            <w:tcBorders>
              <w:top w:val="single" w:color="auto" w:sz="4" w:space="0"/>
              <w:left w:val="single" w:color="auto" w:sz="8" w:space="0"/>
              <w:right w:val="single" w:color="auto" w:sz="4" w:space="0"/>
            </w:tcBorders>
            <w:vAlign w:val="center"/>
          </w:tcPr>
          <w:p w14:paraId="411C2AE9">
            <w:pPr>
              <w:jc w:val="center"/>
              <w:rPr>
                <w:rFonts w:hint="eastAsia" w:ascii="宋体" w:hAnsi="宋体" w:cs="宋体"/>
                <w:color w:val="000000"/>
                <w:sz w:val="24"/>
                <w:szCs w:val="24"/>
              </w:rPr>
            </w:pPr>
            <w:r>
              <w:rPr>
                <w:rFonts w:hint="eastAsia" w:ascii="宋体" w:hAnsi="宋体" w:cs="宋体"/>
                <w:color w:val="000000"/>
                <w:sz w:val="24"/>
                <w:szCs w:val="24"/>
              </w:rPr>
              <w:t>20</w:t>
            </w:r>
          </w:p>
        </w:tc>
        <w:tc>
          <w:tcPr>
            <w:tcW w:w="371" w:type="pct"/>
            <w:tcBorders>
              <w:top w:val="single" w:color="auto" w:sz="4" w:space="0"/>
              <w:left w:val="single" w:color="auto" w:sz="4" w:space="0"/>
              <w:right w:val="single" w:color="auto" w:sz="4" w:space="0"/>
            </w:tcBorders>
            <w:vAlign w:val="center"/>
          </w:tcPr>
          <w:p w14:paraId="70A70DD3">
            <w:pPr>
              <w:jc w:val="center"/>
              <w:rPr>
                <w:rFonts w:hint="eastAsia" w:ascii="宋体" w:hAnsi="宋体" w:cs="宋体"/>
                <w:sz w:val="24"/>
                <w:szCs w:val="24"/>
              </w:rPr>
            </w:pPr>
            <w:r>
              <w:rPr>
                <w:rFonts w:hint="eastAsia" w:ascii="宋体" w:hAnsi="宋体" w:cs="宋体"/>
                <w:kern w:val="0"/>
                <w:sz w:val="24"/>
                <w:szCs w:val="24"/>
              </w:rPr>
              <w:t>商务</w:t>
            </w:r>
          </w:p>
        </w:tc>
        <w:tc>
          <w:tcPr>
            <w:tcW w:w="3302" w:type="pct"/>
            <w:tcBorders>
              <w:top w:val="single" w:color="auto" w:sz="4" w:space="0"/>
              <w:left w:val="single" w:color="auto" w:sz="4" w:space="0"/>
              <w:bottom w:val="single" w:color="auto" w:sz="4" w:space="0"/>
              <w:right w:val="single" w:color="auto" w:sz="4" w:space="0"/>
            </w:tcBorders>
            <w:vAlign w:val="center"/>
          </w:tcPr>
          <w:p w14:paraId="53CA480B">
            <w:pPr>
              <w:rPr>
                <w:rFonts w:hint="eastAsia" w:ascii="宋体" w:hAnsi="宋体" w:cs="宋体"/>
                <w:sz w:val="24"/>
                <w:szCs w:val="24"/>
              </w:rPr>
            </w:pPr>
            <w:r>
              <w:rPr>
                <w:rFonts w:hint="eastAsia" w:ascii="宋体" w:hAnsi="宋体" w:cs="宋体"/>
                <w:sz w:val="24"/>
                <w:szCs w:val="24"/>
                <w:lang w:val="zh-CN"/>
              </w:rPr>
              <w:t>服务人员技术水平、服务响应时间比较后，较好的得</w:t>
            </w:r>
            <w:r>
              <w:rPr>
                <w:rFonts w:hint="eastAsia" w:ascii="宋体" w:hAnsi="宋体" w:cs="宋体"/>
                <w:sz w:val="24"/>
                <w:szCs w:val="24"/>
              </w:rPr>
              <w:t>3</w:t>
            </w:r>
            <w:r>
              <w:rPr>
                <w:rFonts w:hint="eastAsia" w:ascii="宋体" w:hAnsi="宋体" w:cs="宋体"/>
                <w:sz w:val="24"/>
                <w:szCs w:val="24"/>
                <w:lang w:val="zh-CN"/>
              </w:rPr>
              <w:t>分，一般的得</w:t>
            </w:r>
            <w:r>
              <w:rPr>
                <w:rFonts w:hint="eastAsia" w:ascii="宋体" w:hAnsi="宋体" w:cs="宋体"/>
                <w:sz w:val="24"/>
                <w:szCs w:val="24"/>
              </w:rPr>
              <w:t>2</w:t>
            </w:r>
            <w:r>
              <w:rPr>
                <w:rFonts w:hint="eastAsia" w:ascii="宋体" w:hAnsi="宋体" w:cs="宋体"/>
                <w:sz w:val="24"/>
                <w:szCs w:val="24"/>
                <w:lang w:val="zh-CN"/>
              </w:rPr>
              <w:t>分，差则</w:t>
            </w:r>
            <w:r>
              <w:rPr>
                <w:rFonts w:hint="eastAsia" w:ascii="宋体" w:hAnsi="宋体" w:cs="宋体"/>
                <w:sz w:val="24"/>
                <w:szCs w:val="24"/>
              </w:rPr>
              <w:t>得1分，无不得分</w:t>
            </w:r>
            <w:r>
              <w:rPr>
                <w:rFonts w:hint="eastAsia" w:ascii="宋体" w:hAnsi="宋体" w:cs="宋体"/>
                <w:sz w:val="24"/>
                <w:szCs w:val="24"/>
                <w:lang w:val="zh-CN"/>
              </w:rPr>
              <w:t>。</w:t>
            </w:r>
          </w:p>
        </w:tc>
        <w:tc>
          <w:tcPr>
            <w:tcW w:w="525" w:type="pct"/>
            <w:tcBorders>
              <w:top w:val="single" w:color="auto" w:sz="4" w:space="0"/>
              <w:left w:val="single" w:color="auto" w:sz="4" w:space="0"/>
              <w:right w:val="single" w:color="auto" w:sz="4" w:space="0"/>
            </w:tcBorders>
            <w:vAlign w:val="center"/>
          </w:tcPr>
          <w:p w14:paraId="123AB985">
            <w:pPr>
              <w:jc w:val="center"/>
              <w:rPr>
                <w:rFonts w:hint="eastAsia" w:ascii="宋体" w:hAnsi="宋体" w:cs="宋体"/>
                <w:sz w:val="24"/>
                <w:szCs w:val="24"/>
              </w:rPr>
            </w:pPr>
            <w:r>
              <w:rPr>
                <w:rFonts w:hint="eastAsia" w:ascii="宋体" w:hAnsi="宋体" w:cs="宋体"/>
                <w:sz w:val="24"/>
                <w:szCs w:val="24"/>
              </w:rPr>
              <w:t>0-3分</w:t>
            </w:r>
          </w:p>
        </w:tc>
        <w:tc>
          <w:tcPr>
            <w:tcW w:w="548" w:type="pct"/>
            <w:tcBorders>
              <w:top w:val="single" w:color="auto" w:sz="4" w:space="0"/>
              <w:left w:val="single" w:color="auto" w:sz="4" w:space="0"/>
              <w:right w:val="single" w:color="auto" w:sz="8" w:space="0"/>
            </w:tcBorders>
            <w:vAlign w:val="center"/>
          </w:tcPr>
          <w:p w14:paraId="71EBEFE4">
            <w:pPr>
              <w:jc w:val="center"/>
              <w:rPr>
                <w:rFonts w:hint="eastAsia" w:ascii="宋体" w:hAnsi="宋体" w:cs="宋体"/>
                <w:sz w:val="24"/>
                <w:szCs w:val="24"/>
              </w:rPr>
            </w:pPr>
            <w:r>
              <w:rPr>
                <w:rFonts w:hint="eastAsia" w:ascii="宋体" w:hAnsi="宋体" w:cs="宋体"/>
                <w:sz w:val="24"/>
                <w:szCs w:val="24"/>
              </w:rPr>
              <w:t>客观分</w:t>
            </w:r>
          </w:p>
        </w:tc>
      </w:tr>
      <w:tr w14:paraId="63FAFD34">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645" w:hRule="atLeast"/>
        </w:trPr>
        <w:tc>
          <w:tcPr>
            <w:tcW w:w="254" w:type="pct"/>
            <w:tcBorders>
              <w:left w:val="single" w:color="auto" w:sz="8" w:space="0"/>
              <w:bottom w:val="single" w:color="auto" w:sz="4" w:space="0"/>
              <w:right w:val="single" w:color="auto" w:sz="4" w:space="0"/>
            </w:tcBorders>
            <w:vAlign w:val="center"/>
          </w:tcPr>
          <w:p w14:paraId="6C2DA2B5">
            <w:pPr>
              <w:jc w:val="center"/>
              <w:rPr>
                <w:rFonts w:hint="eastAsia" w:ascii="宋体" w:hAnsi="宋体" w:cs="宋体"/>
                <w:color w:val="000000"/>
                <w:sz w:val="24"/>
                <w:szCs w:val="24"/>
              </w:rPr>
            </w:pPr>
            <w:r>
              <w:rPr>
                <w:rFonts w:hint="eastAsia" w:ascii="宋体" w:hAnsi="宋体" w:cs="宋体"/>
                <w:color w:val="000000"/>
                <w:sz w:val="24"/>
                <w:szCs w:val="24"/>
              </w:rPr>
              <w:t>21</w:t>
            </w:r>
          </w:p>
        </w:tc>
        <w:tc>
          <w:tcPr>
            <w:tcW w:w="371" w:type="pct"/>
            <w:tcBorders>
              <w:left w:val="single" w:color="auto" w:sz="4" w:space="0"/>
              <w:bottom w:val="single" w:color="auto" w:sz="4" w:space="0"/>
              <w:right w:val="single" w:color="auto" w:sz="4" w:space="0"/>
            </w:tcBorders>
            <w:vAlign w:val="center"/>
          </w:tcPr>
          <w:p w14:paraId="2DC7D95D">
            <w:pPr>
              <w:jc w:val="center"/>
              <w:rPr>
                <w:rFonts w:hint="eastAsia" w:ascii="宋体" w:hAnsi="宋体" w:cs="宋体"/>
                <w:sz w:val="24"/>
                <w:szCs w:val="24"/>
                <w:lang w:val="zh-CN"/>
              </w:rPr>
            </w:pPr>
            <w:r>
              <w:rPr>
                <w:rFonts w:hint="eastAsia" w:ascii="宋体" w:hAnsi="宋体" w:cs="宋体"/>
                <w:kern w:val="0"/>
                <w:sz w:val="24"/>
                <w:szCs w:val="24"/>
              </w:rPr>
              <w:t>商务</w:t>
            </w:r>
          </w:p>
        </w:tc>
        <w:tc>
          <w:tcPr>
            <w:tcW w:w="3302" w:type="pct"/>
            <w:tcBorders>
              <w:top w:val="single" w:color="auto" w:sz="4" w:space="0"/>
              <w:left w:val="single" w:color="auto" w:sz="4" w:space="0"/>
              <w:bottom w:val="single" w:color="auto" w:sz="4" w:space="0"/>
              <w:right w:val="single" w:color="auto" w:sz="4" w:space="0"/>
            </w:tcBorders>
            <w:vAlign w:val="center"/>
          </w:tcPr>
          <w:p w14:paraId="66EA95EE">
            <w:pPr>
              <w:pStyle w:val="85"/>
              <w:spacing w:before="130" w:line="244" w:lineRule="auto"/>
              <w:ind w:right="97"/>
              <w:rPr>
                <w:rFonts w:hint="eastAsia"/>
                <w:sz w:val="24"/>
                <w:szCs w:val="24"/>
                <w:lang w:eastAsia="zh-CN"/>
              </w:rPr>
            </w:pPr>
            <w:r>
              <w:rPr>
                <w:rFonts w:hint="eastAsia"/>
                <w:sz w:val="24"/>
                <w:szCs w:val="24"/>
                <w:lang w:val="zh-CN" w:eastAsia="zh-CN"/>
              </w:rPr>
              <w:t>服务承诺内容详实、全面、有针对性的得 3 分； 服务承诺内容基本合理，能满足实际的得 2 分； 服务承诺内容一般合理，相对完整的得 1 分；未提供或不合理的不得分。</w:t>
            </w:r>
          </w:p>
        </w:tc>
        <w:tc>
          <w:tcPr>
            <w:tcW w:w="525" w:type="pct"/>
            <w:tcBorders>
              <w:left w:val="single" w:color="auto" w:sz="4" w:space="0"/>
              <w:bottom w:val="single" w:color="auto" w:sz="4" w:space="0"/>
              <w:right w:val="single" w:color="auto" w:sz="4" w:space="0"/>
            </w:tcBorders>
            <w:vAlign w:val="center"/>
          </w:tcPr>
          <w:p w14:paraId="5086C0CC">
            <w:pPr>
              <w:jc w:val="center"/>
              <w:rPr>
                <w:rFonts w:hint="eastAsia" w:ascii="宋体" w:hAnsi="宋体" w:cs="宋体"/>
                <w:sz w:val="24"/>
                <w:szCs w:val="24"/>
              </w:rPr>
            </w:pPr>
            <w:r>
              <w:rPr>
                <w:rFonts w:hint="eastAsia" w:ascii="宋体" w:hAnsi="宋体" w:cs="宋体"/>
                <w:sz w:val="24"/>
                <w:szCs w:val="24"/>
              </w:rPr>
              <w:t>0-3分</w:t>
            </w:r>
          </w:p>
        </w:tc>
        <w:tc>
          <w:tcPr>
            <w:tcW w:w="548" w:type="pct"/>
            <w:tcBorders>
              <w:left w:val="single" w:color="auto" w:sz="4" w:space="0"/>
              <w:bottom w:val="single" w:color="auto" w:sz="4" w:space="0"/>
              <w:right w:val="single" w:color="auto" w:sz="8" w:space="0"/>
            </w:tcBorders>
            <w:vAlign w:val="center"/>
          </w:tcPr>
          <w:p w14:paraId="5C9F3D2E">
            <w:pPr>
              <w:jc w:val="center"/>
              <w:rPr>
                <w:rFonts w:hint="eastAsia" w:ascii="宋体" w:hAnsi="宋体" w:cs="宋体"/>
                <w:sz w:val="24"/>
                <w:szCs w:val="24"/>
              </w:rPr>
            </w:pPr>
            <w:r>
              <w:rPr>
                <w:rFonts w:hint="eastAsia" w:ascii="宋体" w:hAnsi="宋体" w:cs="宋体"/>
                <w:sz w:val="24"/>
                <w:szCs w:val="24"/>
              </w:rPr>
              <w:t>主观分</w:t>
            </w:r>
          </w:p>
        </w:tc>
      </w:tr>
      <w:tr w14:paraId="662421A7">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645" w:hRule="atLeast"/>
        </w:trPr>
        <w:tc>
          <w:tcPr>
            <w:tcW w:w="254" w:type="pct"/>
            <w:tcBorders>
              <w:left w:val="single" w:color="auto" w:sz="8" w:space="0"/>
              <w:right w:val="single" w:color="auto" w:sz="4" w:space="0"/>
            </w:tcBorders>
            <w:vAlign w:val="center"/>
          </w:tcPr>
          <w:p w14:paraId="2ED09885">
            <w:pPr>
              <w:jc w:val="center"/>
              <w:rPr>
                <w:rFonts w:hint="eastAsia" w:ascii="宋体" w:hAnsi="宋体" w:cs="宋体"/>
                <w:color w:val="000000"/>
                <w:sz w:val="24"/>
                <w:szCs w:val="24"/>
              </w:rPr>
            </w:pPr>
            <w:r>
              <w:rPr>
                <w:rFonts w:hint="eastAsia" w:ascii="宋体" w:hAnsi="宋体" w:cs="宋体"/>
                <w:color w:val="000000"/>
                <w:sz w:val="24"/>
                <w:szCs w:val="24"/>
              </w:rPr>
              <w:t>22</w:t>
            </w:r>
          </w:p>
        </w:tc>
        <w:tc>
          <w:tcPr>
            <w:tcW w:w="371" w:type="pct"/>
            <w:tcBorders>
              <w:left w:val="single" w:color="auto" w:sz="4" w:space="0"/>
              <w:right w:val="single" w:color="auto" w:sz="4" w:space="0"/>
            </w:tcBorders>
            <w:vAlign w:val="center"/>
          </w:tcPr>
          <w:p w14:paraId="1377FDFC">
            <w:pPr>
              <w:jc w:val="center"/>
              <w:rPr>
                <w:rFonts w:hint="eastAsia" w:ascii="宋体" w:hAnsi="宋体" w:cs="宋体"/>
                <w:sz w:val="24"/>
                <w:szCs w:val="24"/>
                <w:lang w:val="zh-CN"/>
              </w:rPr>
            </w:pPr>
            <w:r>
              <w:rPr>
                <w:rFonts w:hint="eastAsia" w:ascii="宋体" w:hAnsi="宋体" w:cs="宋体"/>
                <w:kern w:val="0"/>
                <w:sz w:val="24"/>
                <w:szCs w:val="24"/>
              </w:rPr>
              <w:t>商务</w:t>
            </w:r>
          </w:p>
        </w:tc>
        <w:tc>
          <w:tcPr>
            <w:tcW w:w="3302" w:type="pct"/>
            <w:tcBorders>
              <w:top w:val="single" w:color="auto" w:sz="4" w:space="0"/>
              <w:left w:val="single" w:color="auto" w:sz="4" w:space="0"/>
              <w:bottom w:val="single" w:color="auto" w:sz="4" w:space="0"/>
              <w:right w:val="single" w:color="auto" w:sz="4" w:space="0"/>
            </w:tcBorders>
            <w:vAlign w:val="center"/>
          </w:tcPr>
          <w:p w14:paraId="7D5773F3">
            <w:pPr>
              <w:rPr>
                <w:rFonts w:hint="eastAsia" w:ascii="宋体" w:hAnsi="宋体" w:cs="宋体"/>
                <w:color w:val="FF0000"/>
                <w:sz w:val="24"/>
                <w:szCs w:val="24"/>
                <w:lang w:val="zh-CN"/>
              </w:rPr>
            </w:pPr>
            <w:r>
              <w:rPr>
                <w:rFonts w:hint="eastAsia" w:ascii="宋体" w:hAnsi="宋体" w:cs="宋体"/>
                <w:sz w:val="24"/>
                <w:szCs w:val="24"/>
              </w:rPr>
              <w:t>为保证供货及产品质量，纯电动汽车检测实训一体化智能教学平台须获得相应知识产权，投标人需提供由国家知识产权局出具的相关证明文件。能提供得3分，不提供不得分。</w:t>
            </w:r>
          </w:p>
        </w:tc>
        <w:tc>
          <w:tcPr>
            <w:tcW w:w="525" w:type="pct"/>
            <w:tcBorders>
              <w:left w:val="single" w:color="auto" w:sz="4" w:space="0"/>
              <w:right w:val="single" w:color="auto" w:sz="4" w:space="0"/>
            </w:tcBorders>
            <w:vAlign w:val="center"/>
          </w:tcPr>
          <w:p w14:paraId="1F083574">
            <w:pPr>
              <w:jc w:val="center"/>
              <w:rPr>
                <w:rFonts w:hint="eastAsia" w:ascii="宋体" w:hAnsi="宋体" w:cs="宋体"/>
                <w:sz w:val="24"/>
                <w:szCs w:val="24"/>
              </w:rPr>
            </w:pPr>
            <w:r>
              <w:rPr>
                <w:rFonts w:hint="eastAsia" w:ascii="宋体" w:hAnsi="宋体" w:cs="宋体"/>
                <w:sz w:val="24"/>
                <w:szCs w:val="24"/>
              </w:rPr>
              <w:t>0-3分</w:t>
            </w:r>
          </w:p>
        </w:tc>
        <w:tc>
          <w:tcPr>
            <w:tcW w:w="548" w:type="pct"/>
            <w:tcBorders>
              <w:left w:val="single" w:color="auto" w:sz="4" w:space="0"/>
              <w:right w:val="single" w:color="auto" w:sz="8" w:space="0"/>
            </w:tcBorders>
            <w:vAlign w:val="center"/>
          </w:tcPr>
          <w:p w14:paraId="18F76681">
            <w:pPr>
              <w:jc w:val="center"/>
              <w:rPr>
                <w:rFonts w:hint="eastAsia" w:ascii="宋体" w:hAnsi="宋体" w:cs="宋体"/>
                <w:sz w:val="24"/>
                <w:szCs w:val="24"/>
              </w:rPr>
            </w:pPr>
            <w:r>
              <w:rPr>
                <w:rFonts w:hint="eastAsia" w:ascii="宋体" w:hAnsi="宋体" w:cs="宋体"/>
                <w:sz w:val="24"/>
                <w:szCs w:val="24"/>
              </w:rPr>
              <w:t>客观分</w:t>
            </w:r>
          </w:p>
        </w:tc>
      </w:tr>
      <w:tr w14:paraId="1619C7AD">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445" w:hRule="atLeast"/>
        </w:trPr>
        <w:tc>
          <w:tcPr>
            <w:tcW w:w="5000" w:type="pct"/>
            <w:gridSpan w:val="5"/>
            <w:tcBorders>
              <w:left w:val="single" w:color="auto" w:sz="8" w:space="0"/>
              <w:bottom w:val="single" w:color="auto" w:sz="4" w:space="0"/>
              <w:right w:val="single" w:color="auto" w:sz="8" w:space="0"/>
            </w:tcBorders>
            <w:vAlign w:val="center"/>
          </w:tcPr>
          <w:p w14:paraId="132BE5C1">
            <w:pPr>
              <w:jc w:val="center"/>
              <w:rPr>
                <w:rFonts w:hint="eastAsia" w:ascii="宋体" w:hAnsi="宋体" w:cs="宋体"/>
                <w:sz w:val="24"/>
                <w:szCs w:val="24"/>
              </w:rPr>
            </w:pPr>
            <w:r>
              <w:rPr>
                <w:rFonts w:hint="eastAsia" w:ascii="宋体" w:hAnsi="宋体" w:cs="宋体"/>
                <w:sz w:val="24"/>
                <w:szCs w:val="24"/>
              </w:rPr>
              <w:t>合计（100分）</w:t>
            </w:r>
          </w:p>
        </w:tc>
      </w:tr>
    </w:tbl>
    <w:p w14:paraId="760DF1EA">
      <w:pPr>
        <w:spacing w:line="360" w:lineRule="auto"/>
        <w:ind w:firstLine="241" w:firstLineChars="100"/>
        <w:rPr>
          <w:rFonts w:hint="eastAsia" w:ascii="宋体" w:hAnsi="宋体" w:cs="宋体"/>
          <w:b/>
          <w:bCs/>
          <w:sz w:val="24"/>
          <w:szCs w:val="24"/>
        </w:rPr>
      </w:pPr>
      <w:r>
        <w:rPr>
          <w:rFonts w:hint="eastAsia" w:ascii="宋体" w:hAnsi="宋体" w:cs="宋体"/>
          <w:b/>
          <w:bCs/>
          <w:sz w:val="24"/>
          <w:szCs w:val="24"/>
        </w:rPr>
        <w:t>4、推荐中标候选人</w:t>
      </w:r>
    </w:p>
    <w:p w14:paraId="10069572">
      <w:pPr>
        <w:spacing w:line="360" w:lineRule="auto"/>
        <w:ind w:firstLine="480" w:firstLineChars="200"/>
        <w:rPr>
          <w:rFonts w:hint="eastAsia" w:ascii="宋体" w:hAnsi="宋体" w:cs="宋体"/>
          <w:sz w:val="24"/>
          <w:szCs w:val="24"/>
        </w:rPr>
      </w:pPr>
      <w:r>
        <w:rPr>
          <w:rFonts w:hint="eastAsia" w:ascii="宋体" w:hAnsi="宋体" w:cs="宋体"/>
          <w:sz w:val="24"/>
          <w:szCs w:val="24"/>
          <w:lang w:val="zh-CN"/>
        </w:rPr>
        <w:t>本次评标采用综合评分法。评标结果按评审后得分由高到低顺序排列。得分相同的，按投标报价由低到高顺序排列。得分且投标报价相同的并列。投标文件满足招标文件全部实质性要求，且按照评审因素的量化指标评审得分最高的投标人为排名第一的中标候选人。</w:t>
      </w:r>
    </w:p>
    <w:p w14:paraId="679FFE91">
      <w:pPr>
        <w:spacing w:line="360" w:lineRule="auto"/>
        <w:ind w:firstLine="241" w:firstLineChars="100"/>
        <w:rPr>
          <w:rFonts w:hint="eastAsia" w:ascii="宋体" w:hAnsi="宋体" w:cs="宋体"/>
          <w:b/>
          <w:bCs/>
          <w:sz w:val="24"/>
          <w:szCs w:val="24"/>
        </w:rPr>
      </w:pPr>
      <w:bookmarkStart w:id="21" w:name="_Toc359494609"/>
      <w:r>
        <w:rPr>
          <w:rFonts w:hint="eastAsia" w:ascii="宋体" w:hAnsi="宋体" w:cs="宋体"/>
          <w:b/>
          <w:bCs/>
          <w:sz w:val="24"/>
          <w:szCs w:val="24"/>
        </w:rPr>
        <w:t>5、</w:t>
      </w:r>
      <w:r>
        <w:rPr>
          <w:rFonts w:hint="eastAsia" w:ascii="宋体" w:hAnsi="宋体" w:cs="宋体"/>
          <w:b/>
          <w:bCs/>
          <w:sz w:val="24"/>
          <w:szCs w:val="24"/>
          <w:lang w:val="zh-CN"/>
        </w:rPr>
        <w:t>落实政府采购政策</w:t>
      </w:r>
      <w:r>
        <w:rPr>
          <w:rFonts w:hint="eastAsia" w:ascii="宋体" w:hAnsi="宋体" w:cs="宋体"/>
          <w:b/>
          <w:bCs/>
          <w:sz w:val="24"/>
          <w:szCs w:val="24"/>
        </w:rPr>
        <w:t>价格扣除（本项目不适用）</w:t>
      </w:r>
    </w:p>
    <w:p w14:paraId="7FF5FDCD">
      <w:pPr>
        <w:autoSpaceDE w:val="0"/>
        <w:autoSpaceDN w:val="0"/>
        <w:adjustRightInd w:val="0"/>
        <w:spacing w:line="360" w:lineRule="auto"/>
        <w:ind w:firstLine="240" w:firstLineChars="100"/>
        <w:jc w:val="left"/>
        <w:rPr>
          <w:rFonts w:hint="eastAsia" w:ascii="宋体" w:hAnsi="宋体" w:cs="宋体"/>
          <w:color w:val="000000"/>
          <w:sz w:val="24"/>
          <w:szCs w:val="24"/>
          <w:lang w:val="zh-CN"/>
        </w:rPr>
      </w:pPr>
      <w:r>
        <w:rPr>
          <w:rFonts w:hint="eastAsia" w:ascii="宋体" w:hAnsi="宋体" w:cs="宋体"/>
          <w:color w:val="000000"/>
          <w:sz w:val="24"/>
          <w:szCs w:val="24"/>
        </w:rPr>
        <w:t>5.1</w:t>
      </w:r>
      <w:r>
        <w:rPr>
          <w:rFonts w:hint="eastAsia" w:ascii="宋体" w:hAnsi="宋体" w:cs="宋体"/>
          <w:color w:val="000000"/>
          <w:sz w:val="24"/>
          <w:szCs w:val="24"/>
          <w:lang w:val="zh-CN"/>
        </w:rPr>
        <w:t>小型和微型企业价格扣除：</w:t>
      </w:r>
    </w:p>
    <w:p w14:paraId="1B16AEB7">
      <w:pPr>
        <w:autoSpaceDE w:val="0"/>
        <w:autoSpaceDN w:val="0"/>
        <w:adjustRightInd w:val="0"/>
        <w:spacing w:line="360" w:lineRule="auto"/>
        <w:ind w:firstLine="240" w:firstLineChars="100"/>
        <w:jc w:val="left"/>
        <w:rPr>
          <w:rFonts w:hint="eastAsia" w:ascii="宋体" w:hAnsi="宋体" w:cs="宋体"/>
          <w:color w:val="000000"/>
          <w:sz w:val="24"/>
          <w:szCs w:val="24"/>
          <w:lang w:val="zh-CN"/>
        </w:rPr>
      </w:pPr>
      <w:r>
        <w:rPr>
          <w:rFonts w:hint="eastAsia" w:ascii="宋体" w:hAnsi="宋体" w:cs="宋体"/>
          <w:color w:val="000000"/>
          <w:sz w:val="24"/>
          <w:szCs w:val="24"/>
          <w:lang w:val="zh-CN"/>
        </w:rPr>
        <w:t>根据《政府采购促进中小企业发展管理办法》(财库[2020]46号)、</w:t>
      </w:r>
      <w:r>
        <w:rPr>
          <w:rFonts w:hint="eastAsia" w:ascii="宋体" w:hAnsi="宋体" w:cs="宋体"/>
          <w:sz w:val="24"/>
          <w:szCs w:val="24"/>
        </w:rPr>
        <w:t>《财政部关于进一步加大政府采购支持中小企业力度的通知》（财库[2022]19号）</w:t>
      </w:r>
      <w:r>
        <w:rPr>
          <w:rFonts w:hint="eastAsia" w:ascii="宋体" w:hAnsi="宋体" w:cs="宋体"/>
          <w:color w:val="000000"/>
          <w:sz w:val="24"/>
          <w:szCs w:val="24"/>
          <w:lang w:val="zh-CN"/>
        </w:rPr>
        <w:t>，对符合本办法规定的小微企业，评标时应当给予</w:t>
      </w:r>
      <w:r>
        <w:rPr>
          <w:rFonts w:hint="eastAsia" w:ascii="宋体" w:hAnsi="宋体" w:cs="宋体"/>
          <w:color w:val="000000"/>
          <w:sz w:val="24"/>
          <w:szCs w:val="24"/>
        </w:rPr>
        <w:t>10</w:t>
      </w:r>
      <w:r>
        <w:rPr>
          <w:rFonts w:hint="eastAsia" w:ascii="宋体" w:hAnsi="宋体" w:cs="宋体"/>
          <w:color w:val="000000"/>
          <w:sz w:val="24"/>
          <w:szCs w:val="24"/>
          <w:lang w:val="zh-CN"/>
        </w:rPr>
        <w:t>%的价格扣除，用扣除后的价格参与评审。小型、微型企业应当提供《中小企业声明函》</w:t>
      </w:r>
    </w:p>
    <w:p w14:paraId="50396517">
      <w:pPr>
        <w:autoSpaceDE w:val="0"/>
        <w:autoSpaceDN w:val="0"/>
        <w:adjustRightInd w:val="0"/>
        <w:spacing w:line="360" w:lineRule="auto"/>
        <w:ind w:firstLine="240" w:firstLineChars="100"/>
        <w:jc w:val="left"/>
        <w:rPr>
          <w:rFonts w:hint="eastAsia" w:ascii="宋体" w:hAnsi="宋体" w:cs="宋体"/>
          <w:color w:val="000000"/>
          <w:sz w:val="24"/>
          <w:szCs w:val="24"/>
          <w:lang w:val="zh-CN"/>
        </w:rPr>
      </w:pPr>
      <w:r>
        <w:rPr>
          <w:rFonts w:hint="eastAsia" w:ascii="宋体" w:hAnsi="宋体" w:cs="宋体"/>
          <w:color w:val="000000"/>
          <w:sz w:val="24"/>
          <w:szCs w:val="24"/>
        </w:rPr>
        <w:t>5.2</w:t>
      </w:r>
      <w:r>
        <w:rPr>
          <w:rFonts w:hint="eastAsia" w:ascii="宋体" w:hAnsi="宋体" w:cs="宋体"/>
          <w:color w:val="000000"/>
          <w:sz w:val="24"/>
          <w:szCs w:val="24"/>
          <w:lang w:val="zh-CN"/>
        </w:rPr>
        <w:t>监狱企业价格扣除：</w:t>
      </w:r>
    </w:p>
    <w:p w14:paraId="44E80F8D">
      <w:pPr>
        <w:autoSpaceDE w:val="0"/>
        <w:autoSpaceDN w:val="0"/>
        <w:adjustRightInd w:val="0"/>
        <w:spacing w:line="360" w:lineRule="auto"/>
        <w:ind w:firstLine="240" w:firstLineChars="100"/>
        <w:jc w:val="left"/>
        <w:rPr>
          <w:rFonts w:hint="eastAsia" w:ascii="宋体" w:hAnsi="宋体" w:cs="宋体"/>
          <w:color w:val="000000"/>
          <w:sz w:val="24"/>
          <w:szCs w:val="24"/>
          <w:lang w:val="zh-CN"/>
        </w:rPr>
      </w:pPr>
      <w:r>
        <w:rPr>
          <w:rFonts w:hint="eastAsia" w:ascii="宋体" w:hAnsi="宋体" w:cs="宋体"/>
          <w:color w:val="000000"/>
          <w:sz w:val="24"/>
          <w:szCs w:val="24"/>
          <w:lang w:val="zh-CN"/>
        </w:rPr>
        <w:t>根据《关于政府采购支持监狱企业发展有关问题的通知》(财库[2014]68号)，在政府采购活动中，监狱企业视同小型、微型企业，监狱企业投标的提供由省级以上监狱管理局、戒毒管理局(含新疆生产建设兵团)出具的属于监狱企业的证明文件，不再提供《中小微企业声明函》</w:t>
      </w:r>
    </w:p>
    <w:p w14:paraId="15A97927">
      <w:pPr>
        <w:autoSpaceDE w:val="0"/>
        <w:autoSpaceDN w:val="0"/>
        <w:adjustRightInd w:val="0"/>
        <w:spacing w:line="360" w:lineRule="auto"/>
        <w:ind w:firstLine="240" w:firstLineChars="100"/>
        <w:jc w:val="left"/>
        <w:rPr>
          <w:rFonts w:hint="eastAsia" w:ascii="宋体" w:hAnsi="宋体" w:cs="宋体"/>
          <w:color w:val="000000"/>
          <w:sz w:val="24"/>
          <w:szCs w:val="24"/>
          <w:lang w:val="zh-CN"/>
        </w:rPr>
      </w:pPr>
      <w:r>
        <w:rPr>
          <w:rFonts w:hint="eastAsia" w:ascii="宋体" w:hAnsi="宋体" w:cs="宋体"/>
          <w:color w:val="000000"/>
          <w:sz w:val="24"/>
          <w:szCs w:val="24"/>
        </w:rPr>
        <w:t>5.3</w:t>
      </w:r>
      <w:r>
        <w:rPr>
          <w:rFonts w:hint="eastAsia" w:ascii="宋体" w:hAnsi="宋体" w:cs="宋体"/>
          <w:color w:val="000000"/>
          <w:sz w:val="24"/>
          <w:szCs w:val="24"/>
          <w:lang w:val="zh-CN"/>
        </w:rPr>
        <w:t>残疾人福利性单位价格扣除：</w:t>
      </w:r>
    </w:p>
    <w:p w14:paraId="21999A59">
      <w:pPr>
        <w:autoSpaceDE w:val="0"/>
        <w:autoSpaceDN w:val="0"/>
        <w:adjustRightInd w:val="0"/>
        <w:spacing w:line="360" w:lineRule="auto"/>
        <w:ind w:firstLine="240" w:firstLineChars="100"/>
        <w:jc w:val="left"/>
        <w:rPr>
          <w:rFonts w:hint="eastAsia" w:ascii="宋体" w:hAnsi="宋体" w:cs="宋体"/>
          <w:color w:val="000000"/>
          <w:sz w:val="24"/>
          <w:szCs w:val="24"/>
          <w:lang w:val="zh-CN"/>
        </w:rPr>
      </w:pPr>
      <w:r>
        <w:rPr>
          <w:rFonts w:hint="eastAsia" w:ascii="宋体" w:hAnsi="宋体" w:cs="宋体"/>
          <w:color w:val="000000"/>
          <w:sz w:val="24"/>
          <w:szCs w:val="24"/>
          <w:lang w:val="zh-CN"/>
        </w:rPr>
        <w:t>根据《关于促进残疾人就业政府采购政策的通知》(财库[2017]141号)，在政府采购活动中，残疾人福利性单位视同小型、微型企业，符合条件的残疾人福利性单位应当提供《残疾人福利性单位声明函》，并对声明的真实性负责。任何单位或者个人在政府采购活动中均不得要求残疾人福利性单位提供其他证明声明函内容的材料。残疾人福利性单位属于小型、微型企业的，不重复享受政策。</w:t>
      </w:r>
    </w:p>
    <w:p w14:paraId="1CC2FF42">
      <w:pPr>
        <w:autoSpaceDE w:val="0"/>
        <w:autoSpaceDN w:val="0"/>
        <w:adjustRightInd w:val="0"/>
        <w:spacing w:line="360" w:lineRule="auto"/>
        <w:ind w:firstLine="240" w:firstLineChars="100"/>
        <w:jc w:val="left"/>
        <w:rPr>
          <w:rFonts w:hint="eastAsia" w:ascii="宋体" w:hAnsi="宋体" w:cs="宋体"/>
          <w:color w:val="000000"/>
          <w:sz w:val="24"/>
          <w:szCs w:val="24"/>
          <w:lang w:val="zh-CN"/>
        </w:rPr>
      </w:pPr>
      <w:r>
        <w:rPr>
          <w:rFonts w:hint="eastAsia" w:ascii="宋体" w:hAnsi="宋体" w:cs="宋体"/>
          <w:color w:val="000000"/>
          <w:sz w:val="24"/>
          <w:szCs w:val="24"/>
        </w:rPr>
        <w:t>5.1</w:t>
      </w:r>
      <w:r>
        <w:rPr>
          <w:rFonts w:hint="eastAsia" w:ascii="宋体" w:hAnsi="宋体" w:cs="宋体"/>
          <w:color w:val="000000"/>
          <w:sz w:val="24"/>
          <w:szCs w:val="24"/>
          <w:lang w:val="zh-CN"/>
        </w:rPr>
        <w:t>、</w:t>
      </w:r>
      <w:r>
        <w:rPr>
          <w:rFonts w:hint="eastAsia" w:ascii="宋体" w:hAnsi="宋体" w:cs="宋体"/>
          <w:color w:val="000000"/>
          <w:sz w:val="24"/>
          <w:szCs w:val="24"/>
        </w:rPr>
        <w:t>5.2</w:t>
      </w:r>
      <w:r>
        <w:rPr>
          <w:rFonts w:hint="eastAsia" w:ascii="宋体" w:hAnsi="宋体" w:cs="宋体"/>
          <w:color w:val="000000"/>
          <w:sz w:val="24"/>
          <w:szCs w:val="24"/>
          <w:lang w:val="zh-CN"/>
        </w:rPr>
        <w:t>、</w:t>
      </w:r>
      <w:r>
        <w:rPr>
          <w:rFonts w:hint="eastAsia" w:ascii="宋体" w:hAnsi="宋体" w:cs="宋体"/>
          <w:color w:val="000000"/>
          <w:sz w:val="24"/>
          <w:szCs w:val="24"/>
        </w:rPr>
        <w:t>5.3</w:t>
      </w:r>
      <w:r>
        <w:rPr>
          <w:rFonts w:hint="eastAsia" w:ascii="宋体" w:hAnsi="宋体" w:cs="宋体"/>
          <w:color w:val="000000"/>
          <w:sz w:val="24"/>
          <w:szCs w:val="24"/>
          <w:lang w:val="zh-CN"/>
        </w:rPr>
        <w:t>条款不得同时适用。</w:t>
      </w:r>
    </w:p>
    <w:p w14:paraId="7FC73FEB">
      <w:pPr>
        <w:autoSpaceDE w:val="0"/>
        <w:autoSpaceDN w:val="0"/>
        <w:adjustRightInd w:val="0"/>
        <w:spacing w:line="360" w:lineRule="auto"/>
        <w:ind w:firstLine="240" w:firstLineChars="100"/>
        <w:jc w:val="left"/>
        <w:rPr>
          <w:rFonts w:hint="eastAsia" w:ascii="宋体" w:hAnsi="宋体" w:cs="宋体"/>
          <w:color w:val="000000"/>
          <w:sz w:val="24"/>
          <w:szCs w:val="24"/>
          <w:lang w:val="zh-CN"/>
        </w:rPr>
      </w:pPr>
      <w:r>
        <w:rPr>
          <w:rFonts w:hint="eastAsia" w:ascii="宋体" w:hAnsi="宋体" w:cs="宋体"/>
          <w:color w:val="000000"/>
          <w:sz w:val="24"/>
          <w:szCs w:val="24"/>
        </w:rPr>
        <w:t>5.4</w:t>
      </w:r>
      <w:r>
        <w:rPr>
          <w:rFonts w:hint="eastAsia" w:ascii="宋体" w:hAnsi="宋体" w:cs="宋体"/>
          <w:color w:val="000000"/>
          <w:sz w:val="24"/>
          <w:szCs w:val="24"/>
          <w:lang w:val="zh-CN"/>
        </w:rPr>
        <w:t>节能产品价格扣除：</w:t>
      </w:r>
    </w:p>
    <w:p w14:paraId="19EC1C60">
      <w:pPr>
        <w:autoSpaceDE w:val="0"/>
        <w:autoSpaceDN w:val="0"/>
        <w:adjustRightInd w:val="0"/>
        <w:spacing w:line="360" w:lineRule="auto"/>
        <w:ind w:firstLine="240" w:firstLineChars="100"/>
        <w:jc w:val="left"/>
        <w:rPr>
          <w:rFonts w:hint="eastAsia" w:ascii="宋体" w:hAnsi="宋体" w:cs="宋体"/>
          <w:color w:val="000000"/>
          <w:sz w:val="24"/>
          <w:szCs w:val="24"/>
          <w:lang w:val="zh-CN"/>
        </w:rPr>
      </w:pPr>
      <w:r>
        <w:rPr>
          <w:rFonts w:hint="eastAsia" w:ascii="宋体" w:hAnsi="宋体" w:cs="宋体"/>
          <w:color w:val="000000"/>
          <w:sz w:val="24"/>
          <w:szCs w:val="24"/>
          <w:lang w:val="zh-CN"/>
        </w:rPr>
        <w:t>（1）对于列入财政部、发展改革委发布的《节能产品政府采购品目清单》但不属于国家强制采购的产品，对其响应价格给予3%的价格扣除，并按照扣除后的价格参加排序。采购项目或者分包中既包含节能产品也包含非节能产品的，只对列入《节能产品政府采购品目清单》但不属于国家强制采购的产品按其在总报价中所占的比例给予价格扣除。</w:t>
      </w:r>
    </w:p>
    <w:p w14:paraId="1209480C">
      <w:pPr>
        <w:autoSpaceDE w:val="0"/>
        <w:autoSpaceDN w:val="0"/>
        <w:adjustRightInd w:val="0"/>
        <w:spacing w:line="360" w:lineRule="auto"/>
        <w:ind w:firstLine="240" w:firstLineChars="100"/>
        <w:jc w:val="left"/>
        <w:rPr>
          <w:rFonts w:hint="eastAsia" w:ascii="宋体" w:hAnsi="宋体" w:cs="宋体"/>
          <w:color w:val="000000"/>
          <w:sz w:val="24"/>
          <w:szCs w:val="24"/>
          <w:lang w:val="zh-CN"/>
        </w:rPr>
      </w:pPr>
      <w:r>
        <w:rPr>
          <w:rFonts w:hint="eastAsia" w:ascii="宋体" w:hAnsi="宋体" w:cs="宋体"/>
          <w:color w:val="000000"/>
          <w:sz w:val="24"/>
          <w:szCs w:val="24"/>
          <w:lang w:val="zh-CN"/>
        </w:rPr>
        <w:t>（2）价格扣除的依据：响应文件中需提供国家确定的认证机构出具的、处于有效期之内的节能产品认证证书，《节能产品政府采购品目清单》请登录中国政府采购网</w:t>
      </w:r>
      <w:r>
        <w:fldChar w:fldCharType="begin"/>
      </w:r>
      <w:r>
        <w:instrText xml:space="preserve">HYPERLINK "http://www.ccgp.gov.cn"</w:instrText>
      </w:r>
      <w:r>
        <w:fldChar w:fldCharType="separate"/>
      </w:r>
      <w:r>
        <w:rPr>
          <w:rFonts w:hint="eastAsia" w:ascii="宋体" w:hAnsi="宋体" w:cs="宋体"/>
          <w:color w:val="000000"/>
          <w:sz w:val="24"/>
          <w:szCs w:val="24"/>
          <w:lang w:val="zh-CN"/>
        </w:rPr>
        <w:t>http://www.ccgp.gov.cn</w:t>
      </w:r>
      <w:r>
        <w:fldChar w:fldCharType="end"/>
      </w:r>
      <w:r>
        <w:rPr>
          <w:rFonts w:hint="eastAsia" w:ascii="宋体" w:hAnsi="宋体" w:cs="宋体"/>
          <w:color w:val="000000"/>
          <w:sz w:val="24"/>
          <w:szCs w:val="24"/>
          <w:lang w:val="zh-CN"/>
        </w:rPr>
        <w:t>查询。</w:t>
      </w:r>
    </w:p>
    <w:p w14:paraId="091DBE8B">
      <w:pPr>
        <w:autoSpaceDE w:val="0"/>
        <w:autoSpaceDN w:val="0"/>
        <w:adjustRightInd w:val="0"/>
        <w:spacing w:line="360" w:lineRule="auto"/>
        <w:ind w:firstLine="240" w:firstLineChars="100"/>
        <w:jc w:val="left"/>
        <w:rPr>
          <w:rFonts w:hint="eastAsia" w:ascii="宋体" w:hAnsi="宋体" w:cs="宋体"/>
          <w:color w:val="000000"/>
          <w:sz w:val="24"/>
          <w:szCs w:val="24"/>
          <w:lang w:val="zh-CN"/>
        </w:rPr>
      </w:pPr>
      <w:r>
        <w:rPr>
          <w:rFonts w:hint="eastAsia" w:ascii="宋体" w:hAnsi="宋体" w:cs="宋体"/>
          <w:color w:val="000000"/>
          <w:sz w:val="24"/>
          <w:szCs w:val="24"/>
        </w:rPr>
        <w:t xml:space="preserve">  5.5</w:t>
      </w:r>
      <w:r>
        <w:rPr>
          <w:rFonts w:hint="eastAsia" w:ascii="宋体" w:hAnsi="宋体" w:cs="宋体"/>
          <w:color w:val="000000"/>
          <w:sz w:val="24"/>
          <w:szCs w:val="24"/>
          <w:lang w:val="zh-CN"/>
        </w:rPr>
        <w:t>环境标志产品价格扣除：</w:t>
      </w:r>
    </w:p>
    <w:p w14:paraId="5523873A">
      <w:pPr>
        <w:autoSpaceDE w:val="0"/>
        <w:autoSpaceDN w:val="0"/>
        <w:adjustRightInd w:val="0"/>
        <w:spacing w:line="360" w:lineRule="auto"/>
        <w:ind w:firstLine="240" w:firstLineChars="100"/>
        <w:jc w:val="left"/>
        <w:rPr>
          <w:rFonts w:hint="eastAsia" w:ascii="宋体" w:hAnsi="宋体" w:cs="宋体"/>
          <w:color w:val="000000"/>
          <w:sz w:val="24"/>
          <w:szCs w:val="24"/>
          <w:lang w:val="zh-CN"/>
        </w:rPr>
      </w:pPr>
      <w:r>
        <w:rPr>
          <w:rFonts w:hint="eastAsia" w:ascii="宋体" w:hAnsi="宋体" w:cs="宋体"/>
          <w:color w:val="000000"/>
          <w:sz w:val="24"/>
          <w:szCs w:val="24"/>
          <w:lang w:val="zh-CN"/>
        </w:rPr>
        <w:t>（1）对于列入财政部、生态环境部发布的《环境标志产品政府采购品目清单》的产品，对其响应价格给予3%的价格扣除，并按照扣除后的价格参加排序。采购项目或者分包中既包含环境标志产品也包含非环境标志产品的，只对列入《环境标志产品政府采购品目清单》的产品按其在总报价中所占的比例给予价格扣除。</w:t>
      </w:r>
    </w:p>
    <w:p w14:paraId="4F07A6C5">
      <w:pPr>
        <w:autoSpaceDE w:val="0"/>
        <w:autoSpaceDN w:val="0"/>
        <w:adjustRightInd w:val="0"/>
        <w:spacing w:line="360" w:lineRule="auto"/>
        <w:ind w:firstLine="240" w:firstLineChars="100"/>
        <w:jc w:val="left"/>
        <w:rPr>
          <w:rFonts w:hint="eastAsia" w:ascii="宋体" w:hAnsi="宋体" w:cs="宋体"/>
          <w:color w:val="000000"/>
          <w:sz w:val="24"/>
          <w:szCs w:val="24"/>
          <w:lang w:val="zh-CN"/>
        </w:rPr>
      </w:pPr>
      <w:r>
        <w:rPr>
          <w:rFonts w:hint="eastAsia" w:ascii="宋体" w:hAnsi="宋体" w:cs="宋体"/>
          <w:color w:val="000000"/>
          <w:sz w:val="24"/>
          <w:szCs w:val="24"/>
          <w:lang w:val="zh-CN"/>
        </w:rPr>
        <w:t>（2）价格扣除的依据：响应文件中需提供国家确定的认证机构出具的、处于有效期之内的环境标志产品认证证书，《环境标志产品政府采购品目清单》请登录中国政府采购网</w:t>
      </w:r>
      <w:r>
        <w:fldChar w:fldCharType="begin"/>
      </w:r>
      <w:r>
        <w:instrText xml:space="preserve">HYPERLINK "http://www.ccgp.gov.cn"</w:instrText>
      </w:r>
      <w:r>
        <w:fldChar w:fldCharType="separate"/>
      </w:r>
      <w:r>
        <w:rPr>
          <w:rFonts w:hint="eastAsia" w:ascii="宋体" w:hAnsi="宋体" w:cs="宋体"/>
          <w:color w:val="000000"/>
          <w:sz w:val="24"/>
          <w:szCs w:val="24"/>
          <w:lang w:val="zh-CN"/>
        </w:rPr>
        <w:t>http://www.ccgp.gov.cn</w:t>
      </w:r>
      <w:r>
        <w:fldChar w:fldCharType="end"/>
      </w:r>
      <w:r>
        <w:rPr>
          <w:rFonts w:hint="eastAsia" w:ascii="宋体" w:hAnsi="宋体" w:cs="宋体"/>
          <w:color w:val="000000"/>
          <w:sz w:val="24"/>
          <w:szCs w:val="24"/>
          <w:lang w:val="zh-CN"/>
        </w:rPr>
        <w:t>查询。</w:t>
      </w:r>
    </w:p>
    <w:p w14:paraId="7395A037">
      <w:pPr>
        <w:autoSpaceDE w:val="0"/>
        <w:autoSpaceDN w:val="0"/>
        <w:adjustRightInd w:val="0"/>
        <w:spacing w:line="360" w:lineRule="auto"/>
        <w:ind w:firstLine="240" w:firstLineChars="100"/>
        <w:jc w:val="left"/>
        <w:rPr>
          <w:rFonts w:hint="eastAsia" w:ascii="宋体" w:hAnsi="宋体" w:cs="宋体"/>
          <w:color w:val="000000"/>
          <w:sz w:val="24"/>
          <w:szCs w:val="24"/>
          <w:lang w:val="zh-CN"/>
        </w:rPr>
      </w:pPr>
      <w:r>
        <w:rPr>
          <w:rFonts w:hint="eastAsia" w:ascii="宋体" w:hAnsi="宋体" w:cs="宋体"/>
          <w:color w:val="000000"/>
          <w:sz w:val="24"/>
          <w:szCs w:val="24"/>
        </w:rPr>
        <w:t>5.6</w:t>
      </w:r>
      <w:r>
        <w:rPr>
          <w:rFonts w:hint="eastAsia" w:ascii="宋体" w:hAnsi="宋体" w:cs="宋体"/>
          <w:color w:val="000000"/>
          <w:sz w:val="24"/>
          <w:szCs w:val="24"/>
          <w:lang w:val="zh-CN"/>
        </w:rPr>
        <w:t>投标产品同时列入上述</w:t>
      </w:r>
      <w:r>
        <w:rPr>
          <w:rFonts w:hint="eastAsia" w:ascii="宋体" w:hAnsi="宋体" w:cs="宋体"/>
          <w:color w:val="000000"/>
          <w:sz w:val="24"/>
          <w:szCs w:val="24"/>
        </w:rPr>
        <w:t>5.4、5.5</w:t>
      </w:r>
      <w:r>
        <w:rPr>
          <w:rFonts w:hint="eastAsia" w:ascii="宋体" w:hAnsi="宋体" w:cs="宋体"/>
          <w:color w:val="000000"/>
          <w:sz w:val="24"/>
          <w:szCs w:val="24"/>
          <w:lang w:val="zh-CN"/>
        </w:rPr>
        <w:t>清单的，将上述规定的价格扣除比例叠加后计算价格扣除。</w:t>
      </w:r>
    </w:p>
    <w:p w14:paraId="4E305737">
      <w:pPr>
        <w:autoSpaceDE w:val="0"/>
        <w:autoSpaceDN w:val="0"/>
        <w:adjustRightInd w:val="0"/>
        <w:spacing w:line="360" w:lineRule="auto"/>
        <w:ind w:firstLine="240" w:firstLineChars="100"/>
        <w:jc w:val="left"/>
        <w:rPr>
          <w:rFonts w:hint="eastAsia" w:ascii="宋体" w:hAnsi="宋体" w:cs="宋体"/>
          <w:color w:val="000000"/>
          <w:sz w:val="24"/>
          <w:szCs w:val="24"/>
          <w:lang w:val="zh-CN"/>
        </w:rPr>
      </w:pPr>
      <w:r>
        <w:rPr>
          <w:rFonts w:hint="eastAsia" w:ascii="宋体" w:hAnsi="宋体" w:cs="宋体"/>
          <w:color w:val="000000"/>
          <w:sz w:val="24"/>
          <w:szCs w:val="24"/>
        </w:rPr>
        <w:t>5.7</w:t>
      </w:r>
      <w:r>
        <w:rPr>
          <w:rFonts w:hint="eastAsia" w:ascii="宋体" w:hAnsi="宋体" w:cs="宋体"/>
          <w:color w:val="000000"/>
          <w:sz w:val="24"/>
          <w:szCs w:val="24"/>
          <w:lang w:val="zh-CN"/>
        </w:rPr>
        <w:t>评审小组将按上述原则调整投标报价，调整后的报价为评标价。</w:t>
      </w:r>
    </w:p>
    <w:p w14:paraId="2F8EAEED">
      <w:pPr>
        <w:autoSpaceDE w:val="0"/>
        <w:autoSpaceDN w:val="0"/>
        <w:adjustRightInd w:val="0"/>
        <w:spacing w:line="360" w:lineRule="auto"/>
        <w:ind w:firstLine="240" w:firstLineChars="100"/>
        <w:jc w:val="left"/>
        <w:rPr>
          <w:rFonts w:hint="eastAsia" w:ascii="宋体" w:hAnsi="宋体" w:cs="宋体"/>
          <w:bCs/>
          <w:color w:val="000000"/>
          <w:sz w:val="24"/>
          <w:szCs w:val="24"/>
          <w:lang w:val="zh-CN"/>
        </w:rPr>
      </w:pPr>
      <w:r>
        <w:rPr>
          <w:rFonts w:hint="eastAsia" w:ascii="宋体" w:hAnsi="宋体" w:cs="宋体"/>
          <w:bCs/>
          <w:color w:val="000000"/>
          <w:sz w:val="24"/>
          <w:szCs w:val="24"/>
        </w:rPr>
        <w:t>5.8</w:t>
      </w:r>
      <w:r>
        <w:rPr>
          <w:rFonts w:hint="eastAsia" w:ascii="宋体" w:hAnsi="宋体" w:cs="宋体"/>
          <w:bCs/>
          <w:color w:val="000000"/>
          <w:sz w:val="24"/>
          <w:szCs w:val="24"/>
          <w:lang w:val="zh-CN"/>
        </w:rPr>
        <w:t>评标委员会按</w:t>
      </w:r>
      <w:r>
        <w:rPr>
          <w:rFonts w:hint="eastAsia" w:ascii="宋体" w:hAnsi="宋体" w:cs="宋体"/>
          <w:bCs/>
          <w:color w:val="000000"/>
          <w:sz w:val="24"/>
          <w:szCs w:val="24"/>
        </w:rPr>
        <w:t>综合评分法</w:t>
      </w:r>
      <w:r>
        <w:rPr>
          <w:rFonts w:hint="eastAsia" w:ascii="宋体" w:hAnsi="宋体" w:cs="宋体"/>
          <w:bCs/>
          <w:color w:val="000000"/>
          <w:sz w:val="24"/>
          <w:szCs w:val="24"/>
          <w:lang w:val="zh-CN"/>
        </w:rPr>
        <w:t>的量化因素和分值进行打分，并计算出综合评估得分。</w:t>
      </w:r>
    </w:p>
    <w:p w14:paraId="0FD97AB0">
      <w:pPr>
        <w:autoSpaceDE w:val="0"/>
        <w:autoSpaceDN w:val="0"/>
        <w:adjustRightInd w:val="0"/>
        <w:spacing w:line="360" w:lineRule="auto"/>
        <w:ind w:firstLine="241" w:firstLineChars="100"/>
        <w:jc w:val="left"/>
        <w:rPr>
          <w:rFonts w:hint="eastAsia" w:ascii="宋体" w:hAnsi="宋体" w:cs="宋体"/>
          <w:b/>
          <w:bCs/>
          <w:color w:val="000000"/>
          <w:sz w:val="24"/>
          <w:szCs w:val="24"/>
          <w:lang w:val="zh-CN"/>
        </w:rPr>
      </w:pPr>
      <w:r>
        <w:rPr>
          <w:rFonts w:hint="eastAsia" w:ascii="宋体" w:hAnsi="宋体" w:cs="宋体"/>
          <w:b/>
          <w:bCs/>
          <w:color w:val="000000"/>
          <w:sz w:val="24"/>
          <w:szCs w:val="24"/>
        </w:rPr>
        <w:t>6、</w:t>
      </w:r>
      <w:r>
        <w:rPr>
          <w:rFonts w:hint="eastAsia" w:ascii="宋体" w:hAnsi="宋体" w:cs="宋体"/>
          <w:b/>
          <w:bCs/>
          <w:color w:val="000000"/>
          <w:sz w:val="24"/>
          <w:szCs w:val="24"/>
          <w:lang w:val="zh-CN"/>
        </w:rPr>
        <w:t>评标结果</w:t>
      </w:r>
    </w:p>
    <w:p w14:paraId="25447B72">
      <w:pPr>
        <w:autoSpaceDE w:val="0"/>
        <w:autoSpaceDN w:val="0"/>
        <w:adjustRightInd w:val="0"/>
        <w:spacing w:line="360" w:lineRule="auto"/>
        <w:ind w:firstLine="240" w:firstLineChars="100"/>
        <w:jc w:val="left"/>
        <w:rPr>
          <w:rFonts w:hint="eastAsia" w:ascii="宋体" w:hAnsi="宋体" w:cs="宋体"/>
          <w:bCs/>
          <w:color w:val="000000"/>
          <w:sz w:val="24"/>
          <w:szCs w:val="24"/>
          <w:lang w:val="zh-CN"/>
        </w:rPr>
      </w:pPr>
      <w:r>
        <w:rPr>
          <w:rFonts w:hint="eastAsia" w:ascii="宋体" w:hAnsi="宋体" w:cs="宋体"/>
          <w:bCs/>
          <w:color w:val="000000"/>
          <w:sz w:val="24"/>
          <w:szCs w:val="24"/>
        </w:rPr>
        <w:t>6.1</w:t>
      </w:r>
      <w:r>
        <w:rPr>
          <w:rFonts w:hint="eastAsia" w:ascii="宋体" w:hAnsi="宋体" w:cs="宋体"/>
          <w:bCs/>
          <w:color w:val="000000"/>
          <w:sz w:val="24"/>
          <w:szCs w:val="24"/>
          <w:lang w:val="zh-CN"/>
        </w:rPr>
        <w:t xml:space="preserve"> 除第二章“投标人须知”前附表授权直接确定中标人外，评标委员会按照得分由高到低的顺序推荐中标候选人。</w:t>
      </w:r>
    </w:p>
    <w:p w14:paraId="4F407F28">
      <w:pPr>
        <w:autoSpaceDE w:val="0"/>
        <w:autoSpaceDN w:val="0"/>
        <w:adjustRightInd w:val="0"/>
        <w:spacing w:line="360" w:lineRule="auto"/>
        <w:ind w:firstLine="240" w:firstLineChars="100"/>
        <w:jc w:val="left"/>
        <w:rPr>
          <w:rFonts w:hint="eastAsia" w:ascii="宋体" w:hAnsi="宋体" w:cs="宋体"/>
          <w:bCs/>
          <w:color w:val="000000"/>
          <w:sz w:val="24"/>
          <w:szCs w:val="24"/>
          <w:lang w:val="zh-CN"/>
        </w:rPr>
      </w:pPr>
      <w:r>
        <w:rPr>
          <w:rFonts w:hint="eastAsia" w:ascii="宋体" w:hAnsi="宋体" w:cs="宋体"/>
          <w:bCs/>
          <w:color w:val="000000"/>
          <w:sz w:val="24"/>
          <w:szCs w:val="24"/>
        </w:rPr>
        <w:t>6.2</w:t>
      </w:r>
      <w:r>
        <w:rPr>
          <w:rFonts w:hint="eastAsia" w:ascii="宋体" w:hAnsi="宋体" w:cs="宋体"/>
          <w:bCs/>
          <w:color w:val="000000"/>
          <w:sz w:val="24"/>
          <w:szCs w:val="24"/>
          <w:lang w:val="zh-CN"/>
        </w:rPr>
        <w:t xml:space="preserve"> 评标委员会完成评标后，应当向购人提交书面评标报告。</w:t>
      </w:r>
    </w:p>
    <w:bookmarkEnd w:id="21"/>
    <w:p w14:paraId="785B0AF4">
      <w:pPr>
        <w:rPr>
          <w:sz w:val="32"/>
          <w:szCs w:val="32"/>
          <w:lang w:val="zh-CN"/>
        </w:rPr>
      </w:pPr>
      <w:bookmarkStart w:id="22" w:name="_Toc359494610"/>
      <w:bookmarkStart w:id="23" w:name="_Toc26696"/>
    </w:p>
    <w:p w14:paraId="57C02248">
      <w:pPr>
        <w:rPr>
          <w:sz w:val="32"/>
          <w:szCs w:val="32"/>
          <w:lang w:val="zh-CN"/>
        </w:rPr>
      </w:pPr>
    </w:p>
    <w:p w14:paraId="00F016E0">
      <w:pPr>
        <w:rPr>
          <w:sz w:val="32"/>
          <w:szCs w:val="32"/>
          <w:lang w:val="zh-CN"/>
        </w:rPr>
      </w:pPr>
    </w:p>
    <w:p w14:paraId="15AA4660">
      <w:pPr>
        <w:rPr>
          <w:sz w:val="32"/>
          <w:szCs w:val="32"/>
          <w:lang w:val="zh-CN"/>
        </w:rPr>
      </w:pPr>
    </w:p>
    <w:p w14:paraId="405A90CA">
      <w:pPr>
        <w:rPr>
          <w:sz w:val="32"/>
          <w:szCs w:val="32"/>
          <w:lang w:val="zh-CN"/>
        </w:rPr>
      </w:pPr>
    </w:p>
    <w:p w14:paraId="6D717866">
      <w:pPr>
        <w:rPr>
          <w:sz w:val="32"/>
          <w:szCs w:val="32"/>
          <w:lang w:val="zh-CN"/>
        </w:rPr>
      </w:pPr>
    </w:p>
    <w:p w14:paraId="3524CF80">
      <w:pPr>
        <w:rPr>
          <w:sz w:val="32"/>
          <w:szCs w:val="32"/>
          <w:lang w:val="zh-CN"/>
        </w:rPr>
      </w:pPr>
    </w:p>
    <w:p w14:paraId="60393172">
      <w:pPr>
        <w:rPr>
          <w:sz w:val="32"/>
          <w:szCs w:val="32"/>
          <w:lang w:val="zh-CN"/>
        </w:rPr>
      </w:pPr>
    </w:p>
    <w:p w14:paraId="0D2ADB5A">
      <w:pPr>
        <w:rPr>
          <w:sz w:val="32"/>
          <w:szCs w:val="32"/>
          <w:lang w:val="zh-CN"/>
        </w:rPr>
      </w:pPr>
    </w:p>
    <w:p w14:paraId="402DC59D">
      <w:pPr>
        <w:pStyle w:val="2"/>
        <w:numPr>
          <w:ilvl w:val="0"/>
          <w:numId w:val="2"/>
        </w:numPr>
        <w:rPr>
          <w:sz w:val="32"/>
          <w:szCs w:val="32"/>
          <w:lang w:val="zh-CN"/>
        </w:rPr>
      </w:pPr>
      <w:r>
        <w:rPr>
          <w:rFonts w:hint="eastAsia"/>
          <w:sz w:val="32"/>
          <w:szCs w:val="32"/>
        </w:rPr>
        <w:t xml:space="preserve"> </w:t>
      </w:r>
      <w:r>
        <w:rPr>
          <w:rFonts w:hint="eastAsia"/>
          <w:sz w:val="32"/>
          <w:szCs w:val="32"/>
          <w:lang w:val="zh-CN"/>
        </w:rPr>
        <w:t>政府采购合同书格式（范本）</w:t>
      </w:r>
      <w:bookmarkEnd w:id="22"/>
      <w:bookmarkEnd w:id="23"/>
    </w:p>
    <w:p w14:paraId="37030189">
      <w:pPr>
        <w:autoSpaceDE w:val="0"/>
        <w:autoSpaceDN w:val="0"/>
        <w:adjustRightInd w:val="0"/>
        <w:spacing w:line="336" w:lineRule="auto"/>
        <w:rPr>
          <w:rFonts w:hint="eastAsia" w:ascii="宋体" w:hAnsi="宋体" w:cs="宋体"/>
          <w:color w:val="000000"/>
          <w:sz w:val="24"/>
          <w:szCs w:val="24"/>
          <w:lang w:val="zh-CN"/>
        </w:rPr>
      </w:pPr>
      <w:r>
        <w:rPr>
          <w:rFonts w:hint="eastAsia" w:ascii="宋体" w:hAnsi="宋体" w:cs="宋体"/>
          <w:color w:val="000000"/>
          <w:sz w:val="24"/>
          <w:szCs w:val="24"/>
          <w:lang w:val="zh-CN"/>
        </w:rPr>
        <w:t>合同编号：</w:t>
      </w:r>
    </w:p>
    <w:p w14:paraId="095EB505">
      <w:pPr>
        <w:autoSpaceDE w:val="0"/>
        <w:autoSpaceDN w:val="0"/>
        <w:adjustRightInd w:val="0"/>
        <w:spacing w:line="336" w:lineRule="auto"/>
        <w:rPr>
          <w:rFonts w:hint="eastAsia" w:ascii="宋体" w:hAnsi="宋体" w:cs="宋体"/>
          <w:color w:val="000000"/>
          <w:sz w:val="24"/>
          <w:szCs w:val="24"/>
          <w:lang w:val="zh-CN"/>
        </w:rPr>
      </w:pPr>
      <w:r>
        <w:rPr>
          <w:rFonts w:hint="eastAsia" w:ascii="宋体" w:hAnsi="宋体" w:cs="宋体"/>
          <w:color w:val="000000"/>
          <w:sz w:val="24"/>
          <w:szCs w:val="24"/>
          <w:lang w:val="zh-CN"/>
        </w:rPr>
        <w:t>签订地点：</w:t>
      </w:r>
    </w:p>
    <w:p w14:paraId="115348E7">
      <w:pPr>
        <w:autoSpaceDE w:val="0"/>
        <w:autoSpaceDN w:val="0"/>
        <w:adjustRightInd w:val="0"/>
        <w:spacing w:line="336" w:lineRule="auto"/>
        <w:rPr>
          <w:rFonts w:hint="eastAsia" w:ascii="宋体" w:hAnsi="宋体" w:cs="宋体"/>
          <w:color w:val="000000"/>
          <w:sz w:val="24"/>
          <w:szCs w:val="24"/>
          <w:lang w:val="zh-CN"/>
        </w:rPr>
      </w:pPr>
      <w:r>
        <w:rPr>
          <w:rFonts w:hint="eastAsia" w:ascii="宋体" w:hAnsi="宋体" w:cs="宋体"/>
          <w:color w:val="000000"/>
          <w:sz w:val="24"/>
          <w:szCs w:val="24"/>
          <w:lang w:val="zh-CN"/>
        </w:rPr>
        <w:t xml:space="preserve">签订日期：  年  月  日 </w:t>
      </w:r>
    </w:p>
    <w:p w14:paraId="43206F5A">
      <w:pPr>
        <w:autoSpaceDE w:val="0"/>
        <w:autoSpaceDN w:val="0"/>
        <w:adjustRightInd w:val="0"/>
        <w:spacing w:line="336" w:lineRule="auto"/>
        <w:rPr>
          <w:rFonts w:hint="eastAsia" w:ascii="宋体" w:hAnsi="宋体" w:cs="宋体"/>
          <w:color w:val="000000"/>
          <w:sz w:val="24"/>
          <w:szCs w:val="24"/>
          <w:lang w:val="zh-CN"/>
        </w:rPr>
      </w:pPr>
      <w:r>
        <w:rPr>
          <w:rFonts w:hint="eastAsia" w:ascii="宋体" w:hAnsi="宋体" w:cs="宋体"/>
          <w:color w:val="000000"/>
          <w:sz w:val="24"/>
          <w:szCs w:val="24"/>
          <w:lang w:val="zh-CN"/>
        </w:rPr>
        <w:t>采购任务通知书编号：</w:t>
      </w:r>
    </w:p>
    <w:p w14:paraId="4E5CBAB1">
      <w:pPr>
        <w:autoSpaceDE w:val="0"/>
        <w:autoSpaceDN w:val="0"/>
        <w:adjustRightInd w:val="0"/>
        <w:spacing w:line="336" w:lineRule="auto"/>
        <w:rPr>
          <w:rFonts w:hint="eastAsia" w:ascii="宋体" w:hAnsi="宋体" w:cs="宋体"/>
          <w:color w:val="000000"/>
          <w:sz w:val="24"/>
          <w:szCs w:val="24"/>
          <w:lang w:val="zh-CN"/>
        </w:rPr>
      </w:pPr>
      <w:r>
        <w:rPr>
          <w:rFonts w:hint="eastAsia" w:ascii="宋体" w:hAnsi="宋体" w:cs="宋体"/>
          <w:color w:val="000000"/>
          <w:sz w:val="24"/>
          <w:szCs w:val="24"/>
          <w:lang w:val="zh-CN"/>
        </w:rPr>
        <w:t xml:space="preserve">     </w:t>
      </w:r>
      <w:r>
        <w:rPr>
          <w:rFonts w:hint="eastAsia" w:ascii="宋体" w:hAnsi="宋体" w:cs="宋体"/>
          <w:color w:val="000000"/>
          <w:sz w:val="24"/>
          <w:szCs w:val="24"/>
          <w:u w:val="single"/>
          <w:lang w:val="zh-CN"/>
        </w:rPr>
        <w:t xml:space="preserve">                   </w:t>
      </w:r>
      <w:r>
        <w:rPr>
          <w:rFonts w:hint="eastAsia" w:ascii="宋体" w:hAnsi="宋体" w:cs="宋体"/>
          <w:color w:val="000000"/>
          <w:sz w:val="24"/>
          <w:szCs w:val="24"/>
          <w:lang w:val="zh-CN"/>
        </w:rPr>
        <w:t>（需方）需求的</w:t>
      </w:r>
      <w:r>
        <w:rPr>
          <w:rFonts w:hint="eastAsia" w:ascii="宋体" w:hAnsi="宋体" w:cs="宋体"/>
          <w:color w:val="000000"/>
          <w:sz w:val="24"/>
          <w:szCs w:val="24"/>
          <w:u w:val="single"/>
          <w:lang w:val="zh-CN"/>
        </w:rPr>
        <w:t xml:space="preserve">                     </w:t>
      </w:r>
      <w:r>
        <w:rPr>
          <w:rFonts w:hint="eastAsia" w:ascii="宋体" w:hAnsi="宋体" w:cs="宋体"/>
          <w:color w:val="000000"/>
          <w:sz w:val="24"/>
          <w:szCs w:val="24"/>
          <w:lang w:val="zh-CN"/>
        </w:rPr>
        <w:t>（货物名称）经招标公司以编号为</w:t>
      </w:r>
      <w:r>
        <w:rPr>
          <w:rFonts w:hint="eastAsia" w:ascii="宋体" w:hAnsi="宋体" w:cs="宋体"/>
          <w:color w:val="000000"/>
          <w:sz w:val="24"/>
          <w:szCs w:val="24"/>
          <w:u w:val="single"/>
          <w:lang w:val="zh-CN"/>
        </w:rPr>
        <w:t xml:space="preserve">    </w:t>
      </w:r>
      <w:r>
        <w:rPr>
          <w:rFonts w:hint="eastAsia" w:ascii="宋体" w:hAnsi="宋体" w:cs="宋体"/>
          <w:color w:val="000000"/>
          <w:sz w:val="24"/>
          <w:szCs w:val="24"/>
          <w:lang w:val="zh-CN"/>
        </w:rPr>
        <w:t>的招标文件在国内公开招标，评标委员会评定（供方）为中标供应商。供需双方按照</w:t>
      </w:r>
      <w:r>
        <w:rPr>
          <w:rFonts w:hint="eastAsia" w:ascii="宋体" w:hAnsi="宋体" w:cs="宋体"/>
          <w:sz w:val="24"/>
          <w:szCs w:val="24"/>
          <w:lang w:val="zh-CN"/>
        </w:rPr>
        <w:t>《中华人民共和国民法典》</w:t>
      </w:r>
      <w:r>
        <w:rPr>
          <w:rFonts w:hint="eastAsia" w:ascii="宋体" w:hAnsi="宋体" w:cs="宋体"/>
          <w:color w:val="000000"/>
          <w:sz w:val="24"/>
          <w:szCs w:val="24"/>
          <w:lang w:val="zh-CN"/>
        </w:rPr>
        <w:t>和有关法律法规，遵循平等、自愿、公平和诚实信用原则，同意按照下面的条款和条件订立本合同，共同信守。</w:t>
      </w:r>
    </w:p>
    <w:p w14:paraId="567300D3">
      <w:pPr>
        <w:autoSpaceDE w:val="0"/>
        <w:autoSpaceDN w:val="0"/>
        <w:adjustRightInd w:val="0"/>
        <w:spacing w:line="336" w:lineRule="auto"/>
        <w:ind w:firstLine="482" w:firstLineChars="200"/>
        <w:rPr>
          <w:rFonts w:hint="eastAsia" w:ascii="宋体" w:hAnsi="宋体" w:cs="宋体"/>
          <w:color w:val="000000"/>
          <w:sz w:val="24"/>
          <w:szCs w:val="24"/>
          <w:lang w:val="zh-CN"/>
        </w:rPr>
      </w:pPr>
      <w:r>
        <w:rPr>
          <w:rFonts w:hint="eastAsia" w:ascii="宋体" w:hAnsi="宋体" w:cs="宋体"/>
          <w:b/>
          <w:color w:val="000000"/>
          <w:sz w:val="24"/>
          <w:szCs w:val="24"/>
          <w:lang w:val="zh-CN"/>
        </w:rPr>
        <w:t>1.合同标的</w:t>
      </w:r>
      <w:r>
        <w:rPr>
          <w:rFonts w:hint="eastAsia" w:ascii="宋体" w:hAnsi="宋体" w:cs="宋体"/>
          <w:color w:val="000000"/>
          <w:sz w:val="24"/>
          <w:szCs w:val="24"/>
          <w:lang w:val="zh-CN"/>
        </w:rPr>
        <w:t xml:space="preserve">： </w:t>
      </w:r>
    </w:p>
    <w:tbl>
      <w:tblPr>
        <w:tblStyle w:val="21"/>
        <w:tblW w:w="10000" w:type="dxa"/>
        <w:jc w:val="center"/>
        <w:tblLayout w:type="fixed"/>
        <w:tblCellMar>
          <w:top w:w="0" w:type="dxa"/>
          <w:left w:w="10" w:type="dxa"/>
          <w:bottom w:w="0" w:type="dxa"/>
          <w:right w:w="10" w:type="dxa"/>
        </w:tblCellMar>
      </w:tblPr>
      <w:tblGrid>
        <w:gridCol w:w="2020"/>
        <w:gridCol w:w="3350"/>
        <w:gridCol w:w="1317"/>
        <w:gridCol w:w="1301"/>
        <w:gridCol w:w="2012"/>
      </w:tblGrid>
      <w:tr w14:paraId="3A610C09">
        <w:tblPrEx>
          <w:tblCellMar>
            <w:top w:w="0" w:type="dxa"/>
            <w:left w:w="10" w:type="dxa"/>
            <w:bottom w:w="0" w:type="dxa"/>
            <w:right w:w="10" w:type="dxa"/>
          </w:tblCellMar>
        </w:tblPrEx>
        <w:trPr>
          <w:trHeight w:val="493" w:hRule="atLeast"/>
          <w:jc w:val="center"/>
        </w:trPr>
        <w:tc>
          <w:tcPr>
            <w:tcW w:w="2020" w:type="dxa"/>
            <w:tcBorders>
              <w:top w:val="single" w:color="000000" w:sz="6" w:space="0"/>
              <w:left w:val="single" w:color="000000" w:sz="6" w:space="0"/>
              <w:bottom w:val="single" w:color="000000" w:sz="6" w:space="0"/>
              <w:right w:val="single" w:color="000000" w:sz="6" w:space="0"/>
            </w:tcBorders>
            <w:vAlign w:val="center"/>
          </w:tcPr>
          <w:p w14:paraId="14F38768">
            <w:pPr>
              <w:autoSpaceDE w:val="0"/>
              <w:autoSpaceDN w:val="0"/>
              <w:adjustRightInd w:val="0"/>
              <w:spacing w:line="336" w:lineRule="auto"/>
              <w:jc w:val="center"/>
              <w:rPr>
                <w:rFonts w:hint="eastAsia" w:ascii="宋体" w:hAnsi="宋体" w:cs="宋体"/>
                <w:color w:val="000000"/>
                <w:sz w:val="24"/>
                <w:szCs w:val="24"/>
              </w:rPr>
            </w:pPr>
            <w:r>
              <w:rPr>
                <w:rFonts w:hint="eastAsia" w:ascii="宋体" w:hAnsi="宋体" w:cs="宋体"/>
                <w:color w:val="000000"/>
                <w:sz w:val="24"/>
                <w:szCs w:val="24"/>
                <w:lang w:val="zh-CN"/>
              </w:rPr>
              <w:t>采购项目名称</w:t>
            </w:r>
          </w:p>
        </w:tc>
        <w:tc>
          <w:tcPr>
            <w:tcW w:w="3350" w:type="dxa"/>
            <w:tcBorders>
              <w:top w:val="single" w:color="000000" w:sz="6" w:space="0"/>
              <w:left w:val="single" w:color="000000" w:sz="6" w:space="0"/>
              <w:bottom w:val="single" w:color="000000" w:sz="6" w:space="0"/>
              <w:right w:val="single" w:color="000000" w:sz="6" w:space="0"/>
            </w:tcBorders>
            <w:vAlign w:val="center"/>
          </w:tcPr>
          <w:p w14:paraId="5D9E51B5">
            <w:pPr>
              <w:autoSpaceDE w:val="0"/>
              <w:autoSpaceDN w:val="0"/>
              <w:adjustRightInd w:val="0"/>
              <w:spacing w:line="336" w:lineRule="auto"/>
              <w:jc w:val="center"/>
              <w:rPr>
                <w:rFonts w:hint="eastAsia" w:ascii="宋体" w:hAnsi="宋体" w:cs="宋体"/>
                <w:color w:val="000000"/>
                <w:sz w:val="24"/>
                <w:szCs w:val="24"/>
              </w:rPr>
            </w:pPr>
            <w:r>
              <w:rPr>
                <w:rFonts w:hint="eastAsia" w:ascii="宋体" w:hAnsi="宋体" w:cs="宋体"/>
                <w:color w:val="000000"/>
                <w:sz w:val="24"/>
                <w:szCs w:val="24"/>
                <w:lang w:val="zh-CN"/>
              </w:rPr>
              <w:t>详细配置及主要技术参数</w:t>
            </w:r>
          </w:p>
        </w:tc>
        <w:tc>
          <w:tcPr>
            <w:tcW w:w="1317" w:type="dxa"/>
            <w:tcBorders>
              <w:top w:val="single" w:color="000000" w:sz="6" w:space="0"/>
              <w:left w:val="single" w:color="000000" w:sz="6" w:space="0"/>
              <w:bottom w:val="single" w:color="000000" w:sz="6" w:space="0"/>
              <w:right w:val="single" w:color="000000" w:sz="6" w:space="0"/>
            </w:tcBorders>
            <w:vAlign w:val="center"/>
          </w:tcPr>
          <w:p w14:paraId="1DB17E0C">
            <w:pPr>
              <w:autoSpaceDE w:val="0"/>
              <w:autoSpaceDN w:val="0"/>
              <w:adjustRightInd w:val="0"/>
              <w:spacing w:line="336" w:lineRule="auto"/>
              <w:jc w:val="center"/>
              <w:rPr>
                <w:rFonts w:hint="eastAsia" w:ascii="宋体" w:hAnsi="宋体" w:cs="宋体"/>
                <w:color w:val="000000"/>
                <w:sz w:val="24"/>
                <w:szCs w:val="24"/>
              </w:rPr>
            </w:pPr>
            <w:r>
              <w:rPr>
                <w:rFonts w:hint="eastAsia" w:ascii="宋体" w:hAnsi="宋体" w:cs="宋体"/>
                <w:color w:val="000000"/>
                <w:sz w:val="24"/>
                <w:szCs w:val="24"/>
                <w:lang w:val="zh-CN"/>
              </w:rPr>
              <w:t>数量</w:t>
            </w:r>
          </w:p>
        </w:tc>
        <w:tc>
          <w:tcPr>
            <w:tcW w:w="1301" w:type="dxa"/>
            <w:tcBorders>
              <w:top w:val="single" w:color="000000" w:sz="6" w:space="0"/>
              <w:left w:val="single" w:color="000000" w:sz="6" w:space="0"/>
              <w:bottom w:val="single" w:color="000000" w:sz="6" w:space="0"/>
              <w:right w:val="single" w:color="000000" w:sz="6" w:space="0"/>
            </w:tcBorders>
            <w:vAlign w:val="center"/>
          </w:tcPr>
          <w:p w14:paraId="3D3D5E69">
            <w:pPr>
              <w:autoSpaceDE w:val="0"/>
              <w:autoSpaceDN w:val="0"/>
              <w:adjustRightInd w:val="0"/>
              <w:spacing w:line="336" w:lineRule="auto"/>
              <w:jc w:val="center"/>
              <w:rPr>
                <w:rFonts w:hint="eastAsia" w:ascii="宋体" w:hAnsi="宋体" w:cs="宋体"/>
                <w:color w:val="000000"/>
                <w:sz w:val="24"/>
                <w:szCs w:val="24"/>
              </w:rPr>
            </w:pPr>
            <w:r>
              <w:rPr>
                <w:rFonts w:hint="eastAsia" w:ascii="宋体" w:hAnsi="宋体" w:cs="宋体"/>
                <w:color w:val="000000"/>
                <w:sz w:val="24"/>
                <w:szCs w:val="24"/>
                <w:lang w:val="zh-CN"/>
              </w:rPr>
              <w:t>单价</w:t>
            </w:r>
            <w:r>
              <w:rPr>
                <w:rFonts w:hint="eastAsia" w:ascii="宋体" w:hAnsi="宋体" w:cs="宋体"/>
                <w:color w:val="000000"/>
                <w:sz w:val="24"/>
                <w:szCs w:val="24"/>
              </w:rPr>
              <w:t>(</w:t>
            </w:r>
            <w:r>
              <w:rPr>
                <w:rFonts w:hint="eastAsia" w:ascii="宋体" w:hAnsi="宋体" w:cs="宋体"/>
                <w:color w:val="000000"/>
                <w:sz w:val="24"/>
                <w:szCs w:val="24"/>
                <w:lang w:val="zh-CN"/>
              </w:rPr>
              <w:t>元</w:t>
            </w:r>
            <w:r>
              <w:rPr>
                <w:rFonts w:hint="eastAsia" w:ascii="宋体" w:hAnsi="宋体" w:cs="宋体"/>
                <w:color w:val="000000"/>
                <w:sz w:val="24"/>
                <w:szCs w:val="24"/>
              </w:rPr>
              <w:t>)</w:t>
            </w:r>
          </w:p>
        </w:tc>
        <w:tc>
          <w:tcPr>
            <w:tcW w:w="2012" w:type="dxa"/>
            <w:tcBorders>
              <w:top w:val="single" w:color="000000" w:sz="6" w:space="0"/>
              <w:left w:val="single" w:color="000000" w:sz="6" w:space="0"/>
              <w:bottom w:val="single" w:color="000000" w:sz="6" w:space="0"/>
              <w:right w:val="single" w:color="000000" w:sz="6" w:space="0"/>
            </w:tcBorders>
            <w:vAlign w:val="center"/>
          </w:tcPr>
          <w:p w14:paraId="765BC9FE">
            <w:pPr>
              <w:autoSpaceDE w:val="0"/>
              <w:autoSpaceDN w:val="0"/>
              <w:adjustRightInd w:val="0"/>
              <w:spacing w:line="336" w:lineRule="auto"/>
              <w:jc w:val="center"/>
              <w:rPr>
                <w:rFonts w:hint="eastAsia" w:ascii="宋体" w:hAnsi="宋体" w:cs="宋体"/>
                <w:color w:val="000000"/>
                <w:sz w:val="24"/>
                <w:szCs w:val="24"/>
              </w:rPr>
            </w:pPr>
            <w:r>
              <w:rPr>
                <w:rFonts w:hint="eastAsia" w:ascii="宋体" w:hAnsi="宋体" w:cs="宋体"/>
                <w:color w:val="000000"/>
                <w:sz w:val="24"/>
                <w:szCs w:val="24"/>
                <w:lang w:val="zh-CN"/>
              </w:rPr>
              <w:t>小计金额</w:t>
            </w:r>
            <w:r>
              <w:rPr>
                <w:rFonts w:hint="eastAsia" w:ascii="宋体" w:hAnsi="宋体" w:cs="宋体"/>
                <w:color w:val="000000"/>
                <w:sz w:val="24"/>
                <w:szCs w:val="24"/>
              </w:rPr>
              <w:t>(</w:t>
            </w:r>
            <w:r>
              <w:rPr>
                <w:rFonts w:hint="eastAsia" w:ascii="宋体" w:hAnsi="宋体" w:cs="宋体"/>
                <w:color w:val="000000"/>
                <w:sz w:val="24"/>
                <w:szCs w:val="24"/>
                <w:lang w:val="zh-CN"/>
              </w:rPr>
              <w:t>元</w:t>
            </w:r>
            <w:r>
              <w:rPr>
                <w:rFonts w:hint="eastAsia" w:ascii="宋体" w:hAnsi="宋体" w:cs="宋体"/>
                <w:color w:val="000000"/>
                <w:sz w:val="24"/>
                <w:szCs w:val="24"/>
              </w:rPr>
              <w:t>)</w:t>
            </w:r>
          </w:p>
        </w:tc>
      </w:tr>
      <w:tr w14:paraId="43995AA5">
        <w:tblPrEx>
          <w:tblCellMar>
            <w:top w:w="0" w:type="dxa"/>
            <w:left w:w="10" w:type="dxa"/>
            <w:bottom w:w="0" w:type="dxa"/>
            <w:right w:w="10" w:type="dxa"/>
          </w:tblCellMar>
        </w:tblPrEx>
        <w:trPr>
          <w:trHeight w:val="507" w:hRule="atLeast"/>
          <w:jc w:val="center"/>
        </w:trPr>
        <w:tc>
          <w:tcPr>
            <w:tcW w:w="2020" w:type="dxa"/>
            <w:tcBorders>
              <w:top w:val="single" w:color="000000" w:sz="6" w:space="0"/>
              <w:left w:val="single" w:color="000000" w:sz="6" w:space="0"/>
              <w:bottom w:val="single" w:color="000000" w:sz="6" w:space="0"/>
              <w:right w:val="single" w:color="000000" w:sz="6" w:space="0"/>
            </w:tcBorders>
            <w:vAlign w:val="center"/>
          </w:tcPr>
          <w:p w14:paraId="38178B5D">
            <w:pPr>
              <w:autoSpaceDE w:val="0"/>
              <w:autoSpaceDN w:val="0"/>
              <w:adjustRightInd w:val="0"/>
              <w:spacing w:line="336" w:lineRule="auto"/>
              <w:jc w:val="center"/>
              <w:rPr>
                <w:rFonts w:hint="eastAsia" w:ascii="宋体" w:hAnsi="宋体" w:cs="宋体"/>
                <w:color w:val="000000"/>
                <w:sz w:val="24"/>
                <w:szCs w:val="24"/>
                <w:lang w:val="zh-CN"/>
              </w:rPr>
            </w:pPr>
          </w:p>
        </w:tc>
        <w:tc>
          <w:tcPr>
            <w:tcW w:w="3350" w:type="dxa"/>
            <w:tcBorders>
              <w:top w:val="single" w:color="000000" w:sz="6" w:space="0"/>
              <w:left w:val="single" w:color="000000" w:sz="6" w:space="0"/>
              <w:bottom w:val="single" w:color="000000" w:sz="6" w:space="0"/>
              <w:right w:val="single" w:color="000000" w:sz="6" w:space="0"/>
            </w:tcBorders>
            <w:vAlign w:val="center"/>
          </w:tcPr>
          <w:p w14:paraId="7A4A3D4F">
            <w:pPr>
              <w:autoSpaceDE w:val="0"/>
              <w:autoSpaceDN w:val="0"/>
              <w:adjustRightInd w:val="0"/>
              <w:spacing w:line="336" w:lineRule="auto"/>
              <w:jc w:val="center"/>
              <w:rPr>
                <w:rFonts w:hint="eastAsia" w:ascii="宋体" w:hAnsi="宋体" w:cs="宋体"/>
                <w:color w:val="000000"/>
                <w:sz w:val="24"/>
                <w:szCs w:val="24"/>
                <w:lang w:val="zh-CN"/>
              </w:rPr>
            </w:pPr>
          </w:p>
        </w:tc>
        <w:tc>
          <w:tcPr>
            <w:tcW w:w="1317" w:type="dxa"/>
            <w:tcBorders>
              <w:top w:val="single" w:color="000000" w:sz="6" w:space="0"/>
              <w:left w:val="single" w:color="000000" w:sz="6" w:space="0"/>
              <w:bottom w:val="single" w:color="000000" w:sz="6" w:space="0"/>
              <w:right w:val="single" w:color="000000" w:sz="6" w:space="0"/>
            </w:tcBorders>
            <w:vAlign w:val="center"/>
          </w:tcPr>
          <w:p w14:paraId="0D1EE754">
            <w:pPr>
              <w:autoSpaceDE w:val="0"/>
              <w:autoSpaceDN w:val="0"/>
              <w:adjustRightInd w:val="0"/>
              <w:spacing w:line="336" w:lineRule="auto"/>
              <w:jc w:val="center"/>
              <w:rPr>
                <w:rFonts w:hint="eastAsia" w:ascii="宋体" w:hAnsi="宋体" w:cs="宋体"/>
                <w:color w:val="000000"/>
                <w:sz w:val="24"/>
                <w:szCs w:val="24"/>
                <w:lang w:val="zh-CN"/>
              </w:rPr>
            </w:pPr>
          </w:p>
        </w:tc>
        <w:tc>
          <w:tcPr>
            <w:tcW w:w="1301" w:type="dxa"/>
            <w:tcBorders>
              <w:top w:val="single" w:color="000000" w:sz="6" w:space="0"/>
              <w:left w:val="single" w:color="000000" w:sz="6" w:space="0"/>
              <w:bottom w:val="single" w:color="000000" w:sz="6" w:space="0"/>
              <w:right w:val="single" w:color="000000" w:sz="6" w:space="0"/>
            </w:tcBorders>
            <w:vAlign w:val="center"/>
          </w:tcPr>
          <w:p w14:paraId="759D3D15">
            <w:pPr>
              <w:autoSpaceDE w:val="0"/>
              <w:autoSpaceDN w:val="0"/>
              <w:adjustRightInd w:val="0"/>
              <w:spacing w:line="336" w:lineRule="auto"/>
              <w:jc w:val="center"/>
              <w:rPr>
                <w:rFonts w:hint="eastAsia" w:ascii="宋体" w:hAnsi="宋体" w:cs="宋体"/>
                <w:color w:val="000000"/>
                <w:sz w:val="24"/>
                <w:szCs w:val="24"/>
                <w:lang w:val="zh-CN"/>
              </w:rPr>
            </w:pPr>
          </w:p>
        </w:tc>
        <w:tc>
          <w:tcPr>
            <w:tcW w:w="2012" w:type="dxa"/>
            <w:tcBorders>
              <w:top w:val="single" w:color="000000" w:sz="6" w:space="0"/>
              <w:left w:val="single" w:color="000000" w:sz="6" w:space="0"/>
              <w:bottom w:val="single" w:color="000000" w:sz="6" w:space="0"/>
              <w:right w:val="single" w:color="000000" w:sz="6" w:space="0"/>
            </w:tcBorders>
            <w:vAlign w:val="center"/>
          </w:tcPr>
          <w:p w14:paraId="2C3D37FB">
            <w:pPr>
              <w:autoSpaceDE w:val="0"/>
              <w:autoSpaceDN w:val="0"/>
              <w:adjustRightInd w:val="0"/>
              <w:spacing w:line="336" w:lineRule="auto"/>
              <w:jc w:val="center"/>
              <w:rPr>
                <w:rFonts w:hint="eastAsia" w:ascii="宋体" w:hAnsi="宋体" w:cs="宋体"/>
                <w:color w:val="000000"/>
                <w:sz w:val="24"/>
                <w:szCs w:val="24"/>
                <w:lang w:val="zh-CN"/>
              </w:rPr>
            </w:pPr>
          </w:p>
        </w:tc>
      </w:tr>
    </w:tbl>
    <w:p w14:paraId="6D374A33">
      <w:pPr>
        <w:autoSpaceDE w:val="0"/>
        <w:autoSpaceDN w:val="0"/>
        <w:adjustRightInd w:val="0"/>
        <w:spacing w:line="336" w:lineRule="auto"/>
        <w:ind w:firstLine="482" w:firstLineChars="200"/>
        <w:rPr>
          <w:rFonts w:hint="eastAsia" w:ascii="宋体" w:hAnsi="宋体" w:cs="宋体"/>
          <w:bCs/>
          <w:color w:val="000000"/>
          <w:sz w:val="24"/>
          <w:szCs w:val="24"/>
          <w:lang w:val="zh-CN"/>
        </w:rPr>
      </w:pPr>
      <w:r>
        <w:rPr>
          <w:rFonts w:hint="eastAsia" w:ascii="宋体" w:hAnsi="宋体" w:cs="宋体"/>
          <w:b/>
          <w:color w:val="000000"/>
          <w:sz w:val="24"/>
          <w:szCs w:val="24"/>
          <w:lang w:val="zh-CN"/>
        </w:rPr>
        <w:t>2</w:t>
      </w:r>
      <w:r>
        <w:rPr>
          <w:rFonts w:hint="eastAsia" w:ascii="宋体" w:hAnsi="宋体" w:cs="宋体"/>
          <w:bCs/>
          <w:color w:val="000000"/>
          <w:sz w:val="24"/>
          <w:szCs w:val="24"/>
          <w:lang w:val="zh-CN"/>
        </w:rPr>
        <w:t>. 合同价格：人民币（大写）             元，（小写）￥:            元。</w:t>
      </w:r>
    </w:p>
    <w:p w14:paraId="7D2673B2">
      <w:pPr>
        <w:autoSpaceDE w:val="0"/>
        <w:autoSpaceDN w:val="0"/>
        <w:adjustRightInd w:val="0"/>
        <w:spacing w:line="336" w:lineRule="auto"/>
        <w:ind w:firstLine="482"/>
        <w:rPr>
          <w:rFonts w:hint="eastAsia" w:ascii="宋体" w:hAnsi="宋体" w:cs="宋体"/>
          <w:bCs/>
          <w:color w:val="000000"/>
          <w:sz w:val="24"/>
          <w:szCs w:val="24"/>
          <w:lang w:val="zh-CN"/>
        </w:rPr>
      </w:pPr>
      <w:r>
        <w:rPr>
          <w:rFonts w:hint="eastAsia" w:ascii="宋体" w:hAnsi="宋体" w:cs="宋体"/>
          <w:bCs/>
          <w:color w:val="000000"/>
          <w:sz w:val="24"/>
          <w:szCs w:val="24"/>
          <w:lang w:val="zh-CN"/>
        </w:rPr>
        <w:t>3. 合同履行期限、地点、方式</w:t>
      </w:r>
    </w:p>
    <w:p w14:paraId="47316687">
      <w:pPr>
        <w:autoSpaceDE w:val="0"/>
        <w:autoSpaceDN w:val="0"/>
        <w:adjustRightInd w:val="0"/>
        <w:spacing w:line="336" w:lineRule="auto"/>
        <w:ind w:firstLine="480"/>
        <w:rPr>
          <w:rFonts w:hint="eastAsia" w:ascii="宋体" w:hAnsi="宋体" w:cs="宋体"/>
          <w:bCs/>
          <w:color w:val="000000"/>
          <w:sz w:val="24"/>
          <w:szCs w:val="24"/>
          <w:lang w:val="zh-CN"/>
        </w:rPr>
      </w:pPr>
      <w:r>
        <w:rPr>
          <w:rFonts w:hint="eastAsia" w:ascii="宋体" w:hAnsi="宋体" w:cs="宋体"/>
          <w:bCs/>
          <w:color w:val="000000"/>
          <w:sz w:val="24"/>
          <w:szCs w:val="24"/>
          <w:lang w:val="zh-CN"/>
        </w:rPr>
        <w:t>3.1合同履行期限：签订合同后   天内供货。</w:t>
      </w:r>
    </w:p>
    <w:p w14:paraId="4D37346A">
      <w:pPr>
        <w:autoSpaceDE w:val="0"/>
        <w:autoSpaceDN w:val="0"/>
        <w:adjustRightInd w:val="0"/>
        <w:spacing w:line="336" w:lineRule="auto"/>
        <w:ind w:firstLine="480"/>
        <w:rPr>
          <w:rFonts w:hint="eastAsia" w:ascii="宋体" w:hAnsi="宋体" w:cs="宋体"/>
          <w:bCs/>
          <w:color w:val="000000"/>
          <w:sz w:val="24"/>
          <w:szCs w:val="24"/>
          <w:lang w:val="zh-CN"/>
        </w:rPr>
      </w:pPr>
      <w:r>
        <w:rPr>
          <w:rFonts w:hint="eastAsia" w:ascii="宋体" w:hAnsi="宋体" w:cs="宋体"/>
          <w:bCs/>
          <w:color w:val="000000"/>
          <w:sz w:val="24"/>
          <w:szCs w:val="24"/>
          <w:lang w:val="zh-CN"/>
        </w:rPr>
        <w:t xml:space="preserve">3.2供货地点： </w:t>
      </w:r>
    </w:p>
    <w:p w14:paraId="59E2AB83">
      <w:pPr>
        <w:autoSpaceDE w:val="0"/>
        <w:autoSpaceDN w:val="0"/>
        <w:adjustRightInd w:val="0"/>
        <w:spacing w:line="336" w:lineRule="auto"/>
        <w:ind w:firstLine="480"/>
        <w:rPr>
          <w:rFonts w:hint="eastAsia" w:ascii="宋体" w:hAnsi="宋体" w:cs="宋体"/>
          <w:bCs/>
          <w:color w:val="000000"/>
          <w:sz w:val="24"/>
          <w:szCs w:val="24"/>
          <w:lang w:val="zh-CN"/>
        </w:rPr>
      </w:pPr>
      <w:r>
        <w:rPr>
          <w:rFonts w:hint="eastAsia" w:ascii="宋体" w:hAnsi="宋体" w:cs="宋体"/>
          <w:bCs/>
          <w:color w:val="000000"/>
          <w:sz w:val="24"/>
          <w:szCs w:val="24"/>
          <w:lang w:val="zh-CN"/>
        </w:rPr>
        <w:t>3.3供货方式：由中标人负责将包装完好的货物安全完好运抵交货地点、安装调试并保证验收合格。</w:t>
      </w:r>
    </w:p>
    <w:p w14:paraId="67DA94BB">
      <w:pPr>
        <w:autoSpaceDE w:val="0"/>
        <w:autoSpaceDN w:val="0"/>
        <w:adjustRightInd w:val="0"/>
        <w:spacing w:line="336" w:lineRule="auto"/>
        <w:ind w:firstLine="482"/>
        <w:rPr>
          <w:rFonts w:hint="eastAsia" w:ascii="宋体" w:hAnsi="宋体" w:cs="宋体"/>
          <w:bCs/>
          <w:color w:val="000000"/>
          <w:sz w:val="24"/>
          <w:szCs w:val="24"/>
          <w:lang w:val="zh-CN"/>
        </w:rPr>
      </w:pPr>
      <w:r>
        <w:rPr>
          <w:rFonts w:hint="eastAsia" w:ascii="宋体" w:hAnsi="宋体" w:cs="宋体"/>
          <w:bCs/>
          <w:color w:val="000000"/>
          <w:sz w:val="24"/>
          <w:szCs w:val="24"/>
          <w:lang w:val="zh-CN"/>
        </w:rPr>
        <w:t>4. 付款方式：</w:t>
      </w:r>
    </w:p>
    <w:p w14:paraId="4788C976">
      <w:pPr>
        <w:autoSpaceDE w:val="0"/>
        <w:autoSpaceDN w:val="0"/>
        <w:adjustRightInd w:val="0"/>
        <w:spacing w:line="336" w:lineRule="auto"/>
        <w:ind w:firstLine="480"/>
        <w:rPr>
          <w:rFonts w:hint="eastAsia" w:ascii="宋体" w:hAnsi="宋体" w:cs="宋体"/>
          <w:bCs/>
          <w:color w:val="000000"/>
          <w:sz w:val="24"/>
          <w:szCs w:val="24"/>
          <w:lang w:val="zh-CN"/>
        </w:rPr>
      </w:pPr>
      <w:r>
        <w:rPr>
          <w:rFonts w:hint="eastAsia" w:ascii="宋体" w:hAnsi="宋体" w:cs="宋体"/>
          <w:bCs/>
          <w:color w:val="000000"/>
          <w:sz w:val="24"/>
          <w:szCs w:val="24"/>
          <w:lang w:val="zh-CN"/>
        </w:rPr>
        <w:t>4.1供方供货时应提交下列文件：销售发票，国家有关质检机构出具的检验报告或证书（如果合同约定有的话），进口产品的报关文件（如果合同约定有的话），制造厂商出具的质量检验证书、产品合格证等。</w:t>
      </w:r>
    </w:p>
    <w:p w14:paraId="65A5938C">
      <w:pPr>
        <w:autoSpaceDE w:val="0"/>
        <w:autoSpaceDN w:val="0"/>
        <w:adjustRightInd w:val="0"/>
        <w:spacing w:line="336" w:lineRule="auto"/>
        <w:ind w:firstLine="480"/>
        <w:rPr>
          <w:rFonts w:hint="eastAsia" w:ascii="宋体" w:hAnsi="宋体" w:cs="宋体"/>
          <w:sz w:val="24"/>
          <w:szCs w:val="24"/>
          <w:lang w:val="zh-CN"/>
        </w:rPr>
      </w:pPr>
      <w:r>
        <w:rPr>
          <w:rFonts w:hint="eastAsia" w:ascii="宋体" w:hAnsi="宋体" w:cs="宋体"/>
          <w:bCs/>
          <w:color w:val="000000"/>
          <w:sz w:val="24"/>
          <w:szCs w:val="24"/>
          <w:lang w:val="zh-CN"/>
        </w:rPr>
        <w:t xml:space="preserve">4.2 </w:t>
      </w:r>
      <w:r>
        <w:rPr>
          <w:rFonts w:hint="eastAsia" w:ascii="宋体" w:hAnsi="宋体" w:cs="宋体"/>
          <w:sz w:val="24"/>
          <w:szCs w:val="24"/>
          <w:lang w:val="zh-CN"/>
        </w:rPr>
        <w:t>在签署本合同</w:t>
      </w:r>
      <w:r>
        <w:rPr>
          <w:rFonts w:hint="eastAsia" w:ascii="宋体" w:hAnsi="宋体" w:cs="宋体"/>
          <w:sz w:val="24"/>
          <w:szCs w:val="24"/>
        </w:rPr>
        <w:t>后，供方须将</w:t>
      </w:r>
      <w:r>
        <w:rPr>
          <w:rFonts w:hint="eastAsia" w:ascii="宋体" w:hAnsi="宋体" w:cs="宋体"/>
          <w:sz w:val="24"/>
          <w:szCs w:val="24"/>
          <w:lang w:val="zh-CN"/>
        </w:rPr>
        <w:t>货物运抵需方指定地点，安装调试并经需方验收合格后，一次性支付合同总额的</w:t>
      </w:r>
      <w:r>
        <w:rPr>
          <w:rFonts w:hint="eastAsia" w:ascii="宋体" w:hAnsi="宋体" w:cs="宋体"/>
          <w:sz w:val="24"/>
          <w:szCs w:val="24"/>
        </w:rPr>
        <w:t>1</w:t>
      </w:r>
      <w:r>
        <w:rPr>
          <w:rFonts w:hint="eastAsia" w:ascii="宋体" w:hAnsi="宋体" w:cs="宋体"/>
          <w:sz w:val="24"/>
          <w:szCs w:val="24"/>
          <w:lang w:val="zh-CN"/>
        </w:rPr>
        <w:t>00%。</w:t>
      </w:r>
    </w:p>
    <w:p w14:paraId="1C1A6057">
      <w:pPr>
        <w:autoSpaceDE w:val="0"/>
        <w:autoSpaceDN w:val="0"/>
        <w:adjustRightInd w:val="0"/>
        <w:spacing w:line="336" w:lineRule="auto"/>
        <w:ind w:firstLine="482"/>
        <w:rPr>
          <w:rFonts w:hint="eastAsia" w:ascii="宋体" w:hAnsi="宋体" w:cs="宋体"/>
          <w:bCs/>
          <w:color w:val="000000"/>
          <w:sz w:val="24"/>
          <w:szCs w:val="24"/>
          <w:lang w:val="zh-CN"/>
        </w:rPr>
      </w:pPr>
      <w:r>
        <w:rPr>
          <w:rFonts w:hint="eastAsia" w:ascii="宋体" w:hAnsi="宋体" w:cs="宋体"/>
          <w:bCs/>
          <w:color w:val="000000"/>
          <w:sz w:val="24"/>
          <w:szCs w:val="24"/>
          <w:lang w:val="zh-CN"/>
        </w:rPr>
        <w:t>5．履约保证金</w:t>
      </w:r>
    </w:p>
    <w:p w14:paraId="3AEEB476">
      <w:pPr>
        <w:autoSpaceDE w:val="0"/>
        <w:autoSpaceDN w:val="0"/>
        <w:adjustRightInd w:val="0"/>
        <w:spacing w:line="336" w:lineRule="auto"/>
        <w:ind w:firstLine="480"/>
        <w:rPr>
          <w:rFonts w:hint="eastAsia" w:ascii="宋体" w:hAnsi="宋体" w:cs="宋体"/>
          <w:sz w:val="24"/>
          <w:szCs w:val="24"/>
          <w:lang w:val="zh-CN"/>
        </w:rPr>
      </w:pPr>
      <w:r>
        <w:rPr>
          <w:rFonts w:hint="eastAsia" w:ascii="宋体" w:hAnsi="宋体" w:cs="宋体"/>
          <w:sz w:val="24"/>
          <w:szCs w:val="24"/>
          <w:lang w:val="zh-CN"/>
        </w:rPr>
        <w:t>5.</w:t>
      </w:r>
      <w:r>
        <w:rPr>
          <w:rFonts w:hint="eastAsia" w:ascii="宋体" w:hAnsi="宋体" w:cs="宋体"/>
          <w:sz w:val="24"/>
          <w:szCs w:val="24"/>
        </w:rPr>
        <w:t>1</w:t>
      </w:r>
      <w:r>
        <w:rPr>
          <w:rFonts w:hint="eastAsia" w:ascii="宋体" w:hAnsi="宋体" w:cs="宋体"/>
          <w:bCs/>
          <w:color w:val="000000"/>
          <w:sz w:val="24"/>
          <w:szCs w:val="24"/>
          <w:lang w:val="zh-CN"/>
        </w:rPr>
        <w:t xml:space="preserve"> </w:t>
      </w:r>
      <w:r>
        <w:rPr>
          <w:rFonts w:hint="eastAsia" w:ascii="宋体" w:hAnsi="宋体" w:cs="宋体"/>
          <w:sz w:val="24"/>
          <w:szCs w:val="24"/>
          <w:lang w:val="zh-CN"/>
        </w:rPr>
        <w:t>在签署本合同</w:t>
      </w:r>
      <w:r>
        <w:rPr>
          <w:rFonts w:hint="eastAsia" w:ascii="宋体" w:hAnsi="宋体" w:cs="宋体"/>
          <w:sz w:val="24"/>
          <w:szCs w:val="24"/>
        </w:rPr>
        <w:t>时</w:t>
      </w:r>
      <w:r>
        <w:rPr>
          <w:rFonts w:hint="eastAsia" w:ascii="宋体" w:hAnsi="宋体" w:cs="宋体"/>
          <w:sz w:val="24"/>
          <w:szCs w:val="24"/>
          <w:lang w:val="zh-CN"/>
        </w:rPr>
        <w:t>，供方应向需方提交合同总价5%的履约保证金（人民币，取整数位到百元）。履约保证金可以采用银行转帐或者现金的方式提交。</w:t>
      </w:r>
    </w:p>
    <w:p w14:paraId="728DD7F3">
      <w:pPr>
        <w:autoSpaceDE w:val="0"/>
        <w:autoSpaceDN w:val="0"/>
        <w:adjustRightInd w:val="0"/>
        <w:spacing w:line="336" w:lineRule="auto"/>
        <w:ind w:firstLine="480"/>
        <w:rPr>
          <w:rFonts w:hint="eastAsia" w:ascii="宋体" w:hAnsi="宋体" w:cs="宋体"/>
          <w:sz w:val="24"/>
          <w:szCs w:val="24"/>
          <w:lang w:val="zh-CN"/>
        </w:rPr>
      </w:pPr>
      <w:r>
        <w:rPr>
          <w:rFonts w:hint="eastAsia" w:ascii="宋体" w:hAnsi="宋体" w:cs="宋体"/>
          <w:sz w:val="24"/>
          <w:szCs w:val="24"/>
          <w:lang w:val="zh-CN"/>
        </w:rPr>
        <w:t>5.</w:t>
      </w:r>
      <w:r>
        <w:rPr>
          <w:rFonts w:hint="eastAsia" w:ascii="宋体" w:hAnsi="宋体" w:cs="宋体"/>
          <w:bCs/>
          <w:color w:val="000000"/>
          <w:sz w:val="24"/>
          <w:szCs w:val="24"/>
          <w:lang w:val="zh-CN"/>
        </w:rPr>
        <w:t xml:space="preserve">2 </w:t>
      </w:r>
      <w:r>
        <w:rPr>
          <w:rFonts w:hint="eastAsia" w:ascii="宋体" w:hAnsi="宋体" w:cs="宋体"/>
          <w:sz w:val="24"/>
          <w:szCs w:val="24"/>
          <w:lang w:val="zh-CN"/>
        </w:rPr>
        <w:t>履约保证金的有效期到供方提交的货物经需方验收合格并交付给需方之日止，以银行转帐方式返还，不计利息。</w:t>
      </w:r>
    </w:p>
    <w:p w14:paraId="46A27140">
      <w:pPr>
        <w:autoSpaceDE w:val="0"/>
        <w:autoSpaceDN w:val="0"/>
        <w:adjustRightInd w:val="0"/>
        <w:spacing w:line="336" w:lineRule="auto"/>
        <w:ind w:firstLine="480"/>
        <w:rPr>
          <w:rFonts w:hint="eastAsia" w:ascii="宋体" w:hAnsi="宋体" w:cs="宋体"/>
          <w:sz w:val="24"/>
          <w:szCs w:val="24"/>
          <w:lang w:val="zh-CN"/>
        </w:rPr>
      </w:pPr>
      <w:r>
        <w:rPr>
          <w:rFonts w:hint="eastAsia" w:ascii="宋体" w:hAnsi="宋体" w:cs="宋体"/>
          <w:sz w:val="24"/>
          <w:szCs w:val="24"/>
          <w:lang w:val="zh-CN"/>
        </w:rPr>
        <w:t>5.3 履约保证金由需方在货物验收合格交付后10个工作日内返还。</w:t>
      </w:r>
    </w:p>
    <w:p w14:paraId="60DF7459">
      <w:pPr>
        <w:autoSpaceDE w:val="0"/>
        <w:autoSpaceDN w:val="0"/>
        <w:adjustRightInd w:val="0"/>
        <w:spacing w:line="336" w:lineRule="auto"/>
        <w:ind w:firstLine="480"/>
        <w:rPr>
          <w:rFonts w:hint="eastAsia" w:ascii="宋体" w:hAnsi="宋体" w:cs="宋体"/>
          <w:bCs/>
          <w:color w:val="000000"/>
          <w:sz w:val="24"/>
          <w:szCs w:val="24"/>
          <w:lang w:val="zh-CN"/>
        </w:rPr>
      </w:pPr>
      <w:r>
        <w:rPr>
          <w:rFonts w:hint="eastAsia" w:ascii="宋体" w:hAnsi="宋体" w:cs="宋体"/>
          <w:bCs/>
          <w:color w:val="000000"/>
          <w:sz w:val="24"/>
          <w:szCs w:val="24"/>
        </w:rPr>
        <w:t>6</w:t>
      </w:r>
      <w:r>
        <w:rPr>
          <w:rFonts w:hint="eastAsia" w:ascii="宋体" w:hAnsi="宋体" w:cs="宋体"/>
          <w:bCs/>
          <w:color w:val="000000"/>
          <w:sz w:val="24"/>
          <w:szCs w:val="24"/>
          <w:lang w:val="zh-CN"/>
        </w:rPr>
        <w:t>.合同补充条款：</w:t>
      </w:r>
    </w:p>
    <w:p w14:paraId="777F5AD6">
      <w:pPr>
        <w:autoSpaceDE w:val="0"/>
        <w:autoSpaceDN w:val="0"/>
        <w:adjustRightInd w:val="0"/>
        <w:spacing w:line="336" w:lineRule="auto"/>
        <w:ind w:firstLine="482"/>
        <w:rPr>
          <w:rFonts w:hint="eastAsia" w:ascii="宋体" w:hAnsi="宋体" w:cs="宋体"/>
          <w:bCs/>
          <w:color w:val="000000"/>
          <w:sz w:val="24"/>
          <w:szCs w:val="24"/>
          <w:lang w:val="zh-CN"/>
        </w:rPr>
      </w:pPr>
      <w:r>
        <w:rPr>
          <w:rFonts w:hint="eastAsia" w:ascii="宋体" w:hAnsi="宋体" w:cs="宋体"/>
          <w:bCs/>
          <w:color w:val="000000"/>
          <w:sz w:val="24"/>
          <w:szCs w:val="24"/>
        </w:rPr>
        <w:t>6</w:t>
      </w:r>
      <w:r>
        <w:rPr>
          <w:rFonts w:hint="eastAsia" w:ascii="宋体" w:hAnsi="宋体" w:cs="宋体"/>
          <w:bCs/>
          <w:color w:val="000000"/>
          <w:sz w:val="24"/>
          <w:szCs w:val="24"/>
          <w:lang w:val="zh-CN"/>
        </w:rPr>
        <w:t>.1质量保证：</w:t>
      </w:r>
      <w:r>
        <w:rPr>
          <w:rFonts w:hint="eastAsia" w:ascii="宋体" w:hAnsi="宋体" w:cs="宋体"/>
          <w:color w:val="000000"/>
          <w:sz w:val="24"/>
          <w:szCs w:val="24"/>
          <w:lang w:val="zh-CN"/>
        </w:rPr>
        <w:t>供方提交的货物由需方负责检验验收，供方应提供货物的现场安装、启动和试运行、在质量保证期内对所交付货物提供运行监督、维修保养、免费上门服务，对仪器故障维修机更换确保仪器设备正常运转等，并对需方人员进行培训。</w:t>
      </w:r>
      <w:r>
        <w:rPr>
          <w:rFonts w:hint="eastAsia" w:ascii="宋体" w:hAnsi="宋体" w:cs="宋体"/>
          <w:bCs/>
          <w:color w:val="000000"/>
          <w:sz w:val="24"/>
          <w:szCs w:val="24"/>
          <w:lang w:val="zh-CN"/>
        </w:rPr>
        <w:t xml:space="preserve"> </w:t>
      </w:r>
    </w:p>
    <w:p w14:paraId="6BCCC225">
      <w:pPr>
        <w:autoSpaceDE w:val="0"/>
        <w:autoSpaceDN w:val="0"/>
        <w:adjustRightInd w:val="0"/>
        <w:spacing w:line="336" w:lineRule="auto"/>
        <w:ind w:firstLine="482"/>
        <w:rPr>
          <w:rFonts w:hint="eastAsia" w:ascii="宋体" w:hAnsi="宋体" w:cs="宋体"/>
          <w:bCs/>
          <w:color w:val="000000"/>
          <w:sz w:val="24"/>
          <w:szCs w:val="24"/>
          <w:lang w:val="zh-CN"/>
        </w:rPr>
      </w:pPr>
      <w:r>
        <w:rPr>
          <w:rFonts w:hint="eastAsia" w:ascii="宋体" w:hAnsi="宋体" w:cs="宋体"/>
          <w:sz w:val="24"/>
          <w:szCs w:val="24"/>
          <w:lang w:val="zh-CN"/>
        </w:rPr>
        <w:t>6.</w:t>
      </w:r>
      <w:r>
        <w:rPr>
          <w:rFonts w:hint="eastAsia" w:ascii="宋体" w:hAnsi="宋体" w:cs="宋体"/>
          <w:sz w:val="24"/>
          <w:szCs w:val="24"/>
        </w:rPr>
        <w:t>2</w:t>
      </w:r>
      <w:r>
        <w:rPr>
          <w:rFonts w:hint="eastAsia" w:ascii="宋体" w:hAnsi="宋体" w:cs="宋体"/>
          <w:bCs/>
          <w:color w:val="000000"/>
          <w:sz w:val="24"/>
          <w:szCs w:val="24"/>
          <w:lang w:val="zh-CN"/>
        </w:rPr>
        <w:t>质量保证金：(不收取)。</w:t>
      </w:r>
    </w:p>
    <w:p w14:paraId="2940EFC4">
      <w:pPr>
        <w:autoSpaceDE w:val="0"/>
        <w:autoSpaceDN w:val="0"/>
        <w:adjustRightInd w:val="0"/>
        <w:spacing w:line="336" w:lineRule="auto"/>
        <w:ind w:firstLine="482"/>
        <w:rPr>
          <w:rFonts w:hint="eastAsia" w:ascii="宋体" w:hAnsi="宋体" w:cs="宋体"/>
          <w:bCs/>
          <w:color w:val="000000"/>
          <w:sz w:val="24"/>
          <w:szCs w:val="24"/>
          <w:lang w:val="zh-CN"/>
        </w:rPr>
      </w:pPr>
      <w:r>
        <w:rPr>
          <w:rFonts w:hint="eastAsia" w:ascii="宋体" w:hAnsi="宋体" w:cs="宋体"/>
          <w:bCs/>
          <w:color w:val="000000"/>
          <w:sz w:val="24"/>
          <w:szCs w:val="24"/>
        </w:rPr>
        <w:t>7</w:t>
      </w:r>
      <w:r>
        <w:rPr>
          <w:rFonts w:hint="eastAsia" w:ascii="宋体" w:hAnsi="宋体" w:cs="宋体"/>
          <w:bCs/>
          <w:color w:val="000000"/>
          <w:sz w:val="24"/>
          <w:szCs w:val="24"/>
          <w:lang w:val="zh-CN"/>
        </w:rPr>
        <w:t>.争议解决方式：供需双方达成仲裁协议，向长春市仲裁委员会申请仲裁（向合同签订地人民法院提起诉讼）。</w:t>
      </w:r>
    </w:p>
    <w:p w14:paraId="3B3B0274">
      <w:pPr>
        <w:autoSpaceDE w:val="0"/>
        <w:autoSpaceDN w:val="0"/>
        <w:adjustRightInd w:val="0"/>
        <w:spacing w:line="336" w:lineRule="auto"/>
        <w:ind w:firstLine="482"/>
        <w:rPr>
          <w:rFonts w:hint="eastAsia" w:ascii="宋体" w:hAnsi="宋体" w:cs="宋体"/>
          <w:bCs/>
          <w:color w:val="000000"/>
          <w:sz w:val="24"/>
          <w:szCs w:val="24"/>
          <w:lang w:val="zh-CN"/>
        </w:rPr>
      </w:pPr>
      <w:r>
        <w:rPr>
          <w:rFonts w:hint="eastAsia" w:ascii="宋体" w:hAnsi="宋体" w:cs="宋体"/>
          <w:bCs/>
          <w:color w:val="000000"/>
          <w:sz w:val="24"/>
          <w:szCs w:val="24"/>
        </w:rPr>
        <w:t>8</w:t>
      </w:r>
      <w:r>
        <w:rPr>
          <w:rFonts w:hint="eastAsia" w:ascii="宋体" w:hAnsi="宋体" w:cs="宋体"/>
          <w:bCs/>
          <w:color w:val="000000"/>
          <w:sz w:val="24"/>
          <w:szCs w:val="24"/>
          <w:lang w:val="zh-CN"/>
        </w:rPr>
        <w:t>．合同构成：下列文件构成本合同不可分割的组成部分，与本合同具有同等法律效力：</w:t>
      </w:r>
    </w:p>
    <w:p w14:paraId="61D9E438">
      <w:pPr>
        <w:autoSpaceDE w:val="0"/>
        <w:autoSpaceDN w:val="0"/>
        <w:adjustRightInd w:val="0"/>
        <w:spacing w:line="336" w:lineRule="auto"/>
        <w:ind w:firstLine="482"/>
        <w:rPr>
          <w:rFonts w:hint="eastAsia" w:ascii="宋体" w:hAnsi="宋体" w:cs="宋体"/>
          <w:bCs/>
          <w:color w:val="000000"/>
          <w:sz w:val="24"/>
          <w:szCs w:val="24"/>
          <w:lang w:val="zh-CN"/>
        </w:rPr>
      </w:pPr>
      <w:r>
        <w:rPr>
          <w:rFonts w:hint="eastAsia" w:ascii="宋体" w:hAnsi="宋体" w:cs="宋体"/>
          <w:bCs/>
          <w:color w:val="000000"/>
          <w:sz w:val="24"/>
          <w:szCs w:val="24"/>
        </w:rPr>
        <w:t>8</w:t>
      </w:r>
      <w:r>
        <w:rPr>
          <w:rFonts w:hint="eastAsia" w:ascii="宋体" w:hAnsi="宋体" w:cs="宋体"/>
          <w:bCs/>
          <w:color w:val="000000"/>
          <w:sz w:val="24"/>
          <w:szCs w:val="24"/>
          <w:lang w:val="zh-CN"/>
        </w:rPr>
        <w:t>.1本合同书；</w:t>
      </w:r>
    </w:p>
    <w:p w14:paraId="7F152E81">
      <w:pPr>
        <w:autoSpaceDE w:val="0"/>
        <w:autoSpaceDN w:val="0"/>
        <w:adjustRightInd w:val="0"/>
        <w:spacing w:line="336" w:lineRule="auto"/>
        <w:ind w:firstLine="482"/>
        <w:rPr>
          <w:rFonts w:hint="eastAsia" w:ascii="宋体" w:hAnsi="宋体" w:cs="宋体"/>
          <w:bCs/>
          <w:color w:val="000000"/>
          <w:sz w:val="24"/>
          <w:szCs w:val="24"/>
          <w:lang w:val="zh-CN"/>
        </w:rPr>
      </w:pPr>
      <w:r>
        <w:rPr>
          <w:rFonts w:hint="eastAsia" w:ascii="宋体" w:hAnsi="宋体" w:cs="宋体"/>
          <w:bCs/>
          <w:color w:val="000000"/>
          <w:sz w:val="24"/>
          <w:szCs w:val="24"/>
        </w:rPr>
        <w:t>8</w:t>
      </w:r>
      <w:r>
        <w:rPr>
          <w:rFonts w:hint="eastAsia" w:ascii="宋体" w:hAnsi="宋体" w:cs="宋体"/>
          <w:bCs/>
          <w:color w:val="000000"/>
          <w:sz w:val="24"/>
          <w:szCs w:val="24"/>
          <w:lang w:val="zh-CN"/>
        </w:rPr>
        <w:t>.2中标通知书；</w:t>
      </w:r>
    </w:p>
    <w:p w14:paraId="6AA5F5DC">
      <w:pPr>
        <w:autoSpaceDE w:val="0"/>
        <w:autoSpaceDN w:val="0"/>
        <w:adjustRightInd w:val="0"/>
        <w:spacing w:line="336" w:lineRule="auto"/>
        <w:ind w:firstLine="482"/>
        <w:rPr>
          <w:rFonts w:hint="eastAsia" w:ascii="宋体" w:hAnsi="宋体" w:cs="宋体"/>
          <w:bCs/>
          <w:color w:val="000000"/>
          <w:sz w:val="24"/>
          <w:szCs w:val="24"/>
          <w:lang w:val="zh-CN"/>
        </w:rPr>
      </w:pPr>
      <w:r>
        <w:rPr>
          <w:rFonts w:hint="eastAsia" w:ascii="宋体" w:hAnsi="宋体" w:cs="宋体"/>
          <w:bCs/>
          <w:color w:val="000000"/>
          <w:sz w:val="24"/>
          <w:szCs w:val="24"/>
        </w:rPr>
        <w:t>8</w:t>
      </w:r>
      <w:r>
        <w:rPr>
          <w:rFonts w:hint="eastAsia" w:ascii="宋体" w:hAnsi="宋体" w:cs="宋体"/>
          <w:bCs/>
          <w:color w:val="000000"/>
          <w:sz w:val="24"/>
          <w:szCs w:val="24"/>
          <w:lang w:val="zh-CN"/>
        </w:rPr>
        <w:t>.3招标文件及澄清、修改、补遗文件；</w:t>
      </w:r>
    </w:p>
    <w:p w14:paraId="7BD5E172">
      <w:pPr>
        <w:autoSpaceDE w:val="0"/>
        <w:autoSpaceDN w:val="0"/>
        <w:adjustRightInd w:val="0"/>
        <w:spacing w:line="336" w:lineRule="auto"/>
        <w:ind w:firstLine="482"/>
        <w:rPr>
          <w:rFonts w:hint="eastAsia" w:ascii="宋体" w:hAnsi="宋体" w:cs="宋体"/>
          <w:bCs/>
          <w:color w:val="000000"/>
          <w:sz w:val="24"/>
          <w:szCs w:val="24"/>
          <w:lang w:val="zh-CN"/>
        </w:rPr>
      </w:pPr>
      <w:r>
        <w:rPr>
          <w:rFonts w:hint="eastAsia" w:ascii="宋体" w:hAnsi="宋体" w:cs="宋体"/>
          <w:bCs/>
          <w:color w:val="000000"/>
          <w:sz w:val="24"/>
          <w:szCs w:val="24"/>
        </w:rPr>
        <w:t>8</w:t>
      </w:r>
      <w:r>
        <w:rPr>
          <w:rFonts w:hint="eastAsia" w:ascii="宋体" w:hAnsi="宋体" w:cs="宋体"/>
          <w:bCs/>
          <w:color w:val="000000"/>
          <w:sz w:val="24"/>
          <w:szCs w:val="24"/>
          <w:lang w:val="zh-CN"/>
        </w:rPr>
        <w:t>.4供方的投标文件及书面澄清、说明、补正文件；</w:t>
      </w:r>
    </w:p>
    <w:p w14:paraId="5736BB2A">
      <w:pPr>
        <w:autoSpaceDE w:val="0"/>
        <w:autoSpaceDN w:val="0"/>
        <w:adjustRightInd w:val="0"/>
        <w:spacing w:line="336" w:lineRule="auto"/>
        <w:ind w:firstLine="482"/>
        <w:rPr>
          <w:rFonts w:hint="eastAsia" w:ascii="宋体" w:hAnsi="宋体" w:cs="宋体"/>
          <w:bCs/>
          <w:color w:val="000000"/>
          <w:sz w:val="24"/>
          <w:szCs w:val="24"/>
          <w:lang w:val="zh-CN"/>
        </w:rPr>
      </w:pPr>
      <w:r>
        <w:rPr>
          <w:rFonts w:hint="eastAsia" w:ascii="宋体" w:hAnsi="宋体" w:cs="宋体"/>
          <w:bCs/>
          <w:color w:val="000000"/>
          <w:sz w:val="24"/>
          <w:szCs w:val="24"/>
        </w:rPr>
        <w:t>8</w:t>
      </w:r>
      <w:r>
        <w:rPr>
          <w:rFonts w:hint="eastAsia" w:ascii="宋体" w:hAnsi="宋体" w:cs="宋体"/>
          <w:bCs/>
          <w:color w:val="000000"/>
          <w:sz w:val="24"/>
          <w:szCs w:val="24"/>
          <w:lang w:val="zh-CN"/>
        </w:rPr>
        <w:t>.5产品样本、样品（样机）、说明书、图纸等有关资料；</w:t>
      </w:r>
    </w:p>
    <w:p w14:paraId="69B711B2">
      <w:pPr>
        <w:autoSpaceDE w:val="0"/>
        <w:autoSpaceDN w:val="0"/>
        <w:adjustRightInd w:val="0"/>
        <w:spacing w:line="336" w:lineRule="auto"/>
        <w:ind w:firstLine="482"/>
        <w:rPr>
          <w:rFonts w:hint="eastAsia" w:ascii="宋体" w:hAnsi="宋体" w:cs="宋体"/>
          <w:bCs/>
          <w:color w:val="000000"/>
          <w:sz w:val="24"/>
          <w:szCs w:val="24"/>
          <w:lang w:val="zh-CN"/>
        </w:rPr>
      </w:pPr>
      <w:r>
        <w:rPr>
          <w:rFonts w:hint="eastAsia" w:ascii="宋体" w:hAnsi="宋体" w:cs="宋体"/>
          <w:bCs/>
          <w:color w:val="000000"/>
          <w:sz w:val="24"/>
          <w:szCs w:val="24"/>
        </w:rPr>
        <w:t>8</w:t>
      </w:r>
      <w:r>
        <w:rPr>
          <w:rFonts w:hint="eastAsia" w:ascii="宋体" w:hAnsi="宋体" w:cs="宋体"/>
          <w:bCs/>
          <w:color w:val="000000"/>
          <w:sz w:val="24"/>
          <w:szCs w:val="24"/>
          <w:lang w:val="zh-CN"/>
        </w:rPr>
        <w:t>.6采购验收报告单；</w:t>
      </w:r>
    </w:p>
    <w:p w14:paraId="2F2ED8E5">
      <w:pPr>
        <w:autoSpaceDE w:val="0"/>
        <w:autoSpaceDN w:val="0"/>
        <w:adjustRightInd w:val="0"/>
        <w:spacing w:line="336" w:lineRule="auto"/>
        <w:ind w:firstLine="482"/>
        <w:rPr>
          <w:rFonts w:hint="eastAsia" w:ascii="宋体" w:hAnsi="宋体" w:cs="宋体"/>
          <w:bCs/>
          <w:color w:val="000000"/>
          <w:sz w:val="24"/>
          <w:szCs w:val="24"/>
          <w:lang w:val="zh-CN"/>
        </w:rPr>
      </w:pPr>
      <w:r>
        <w:rPr>
          <w:rFonts w:hint="eastAsia" w:ascii="宋体" w:hAnsi="宋体" w:cs="宋体"/>
          <w:bCs/>
          <w:color w:val="000000"/>
          <w:sz w:val="24"/>
          <w:szCs w:val="24"/>
        </w:rPr>
        <w:t>8</w:t>
      </w:r>
      <w:r>
        <w:rPr>
          <w:rFonts w:hint="eastAsia" w:ascii="宋体" w:hAnsi="宋体" w:cs="宋体"/>
          <w:bCs/>
          <w:color w:val="000000"/>
          <w:sz w:val="24"/>
          <w:szCs w:val="24"/>
          <w:lang w:val="zh-CN"/>
        </w:rPr>
        <w:t>.7合同的其它附件。</w:t>
      </w:r>
    </w:p>
    <w:p w14:paraId="33438D01">
      <w:pPr>
        <w:autoSpaceDE w:val="0"/>
        <w:autoSpaceDN w:val="0"/>
        <w:adjustRightInd w:val="0"/>
        <w:spacing w:line="336" w:lineRule="auto"/>
        <w:ind w:firstLine="480"/>
        <w:rPr>
          <w:rFonts w:hint="eastAsia" w:ascii="宋体" w:hAnsi="宋体" w:cs="宋体"/>
          <w:bCs/>
          <w:color w:val="000000"/>
          <w:sz w:val="24"/>
          <w:szCs w:val="24"/>
          <w:lang w:val="zh-CN"/>
        </w:rPr>
      </w:pPr>
      <w:r>
        <w:rPr>
          <w:rFonts w:hint="eastAsia" w:ascii="宋体" w:hAnsi="宋体" w:cs="宋体"/>
          <w:bCs/>
          <w:color w:val="000000"/>
          <w:sz w:val="24"/>
          <w:szCs w:val="24"/>
          <w:lang w:val="zh-CN"/>
        </w:rPr>
        <w:t>上述组成合同的文件如有不一致之处，以日期在后的为准。</w:t>
      </w:r>
    </w:p>
    <w:p w14:paraId="4185219A">
      <w:pPr>
        <w:autoSpaceDE w:val="0"/>
        <w:autoSpaceDN w:val="0"/>
        <w:adjustRightInd w:val="0"/>
        <w:spacing w:line="336" w:lineRule="auto"/>
        <w:ind w:firstLine="480"/>
        <w:rPr>
          <w:rFonts w:hint="eastAsia" w:ascii="宋体" w:hAnsi="宋体" w:cs="宋体"/>
          <w:bCs/>
          <w:color w:val="000000"/>
          <w:sz w:val="24"/>
          <w:szCs w:val="24"/>
          <w:lang w:val="zh-CN"/>
        </w:rPr>
      </w:pPr>
      <w:r>
        <w:rPr>
          <w:rFonts w:hint="eastAsia" w:ascii="宋体" w:hAnsi="宋体" w:cs="宋体"/>
          <w:bCs/>
          <w:color w:val="000000"/>
          <w:sz w:val="24"/>
          <w:szCs w:val="24"/>
        </w:rPr>
        <w:t>9</w:t>
      </w:r>
      <w:r>
        <w:rPr>
          <w:rFonts w:hint="eastAsia" w:ascii="宋体" w:hAnsi="宋体" w:cs="宋体"/>
          <w:bCs/>
          <w:color w:val="000000"/>
          <w:sz w:val="24"/>
          <w:szCs w:val="24"/>
          <w:lang w:val="zh-CN"/>
        </w:rPr>
        <w:t>.合同份数：</w:t>
      </w:r>
      <w:r>
        <w:rPr>
          <w:rFonts w:hint="eastAsia" w:ascii="宋体" w:hAnsi="宋体" w:cs="宋体"/>
          <w:bCs/>
          <w:sz w:val="24"/>
          <w:szCs w:val="24"/>
          <w:lang w:val="zh-CN"/>
        </w:rPr>
        <w:t xml:space="preserve">本合同一式陆份，供需双方各执叁份。 </w:t>
      </w:r>
    </w:p>
    <w:p w14:paraId="2B66DA4D">
      <w:pPr>
        <w:autoSpaceDE w:val="0"/>
        <w:autoSpaceDN w:val="0"/>
        <w:adjustRightInd w:val="0"/>
        <w:spacing w:line="336" w:lineRule="auto"/>
        <w:ind w:firstLine="482"/>
        <w:rPr>
          <w:rFonts w:hint="eastAsia" w:ascii="宋体" w:hAnsi="宋体" w:cs="宋体"/>
          <w:bCs/>
          <w:color w:val="000000"/>
          <w:sz w:val="24"/>
          <w:szCs w:val="24"/>
          <w:lang w:val="zh-CN"/>
        </w:rPr>
      </w:pPr>
      <w:r>
        <w:rPr>
          <w:rFonts w:hint="eastAsia" w:ascii="宋体" w:hAnsi="宋体" w:cs="宋体"/>
          <w:bCs/>
          <w:color w:val="000000"/>
          <w:sz w:val="24"/>
          <w:szCs w:val="24"/>
        </w:rPr>
        <w:t>10</w:t>
      </w:r>
      <w:r>
        <w:rPr>
          <w:rFonts w:hint="eastAsia" w:ascii="宋体" w:hAnsi="宋体" w:cs="宋体"/>
          <w:bCs/>
          <w:color w:val="000000"/>
          <w:sz w:val="24"/>
          <w:szCs w:val="24"/>
          <w:lang w:val="zh-CN"/>
        </w:rPr>
        <w:t>.合同生效：本合同在供需双方法定代表人或其授权代理人签字、加盖双方公章或者合同专用章，并且需方收到供方提交的履约保证金后生效。</w:t>
      </w:r>
    </w:p>
    <w:p w14:paraId="23D18F25">
      <w:pPr>
        <w:autoSpaceDE w:val="0"/>
        <w:autoSpaceDN w:val="0"/>
        <w:adjustRightInd w:val="0"/>
        <w:spacing w:line="336" w:lineRule="auto"/>
        <w:ind w:firstLine="482"/>
        <w:rPr>
          <w:rFonts w:hint="eastAsia" w:ascii="宋体" w:hAnsi="宋体" w:cs="宋体"/>
          <w:bCs/>
          <w:color w:val="000000"/>
          <w:sz w:val="24"/>
          <w:szCs w:val="24"/>
          <w:lang w:val="zh-CN"/>
        </w:rPr>
      </w:pPr>
      <w:r>
        <w:rPr>
          <w:rFonts w:hint="eastAsia" w:ascii="宋体" w:hAnsi="宋体" w:cs="宋体"/>
          <w:bCs/>
          <w:color w:val="000000"/>
          <w:sz w:val="24"/>
          <w:szCs w:val="24"/>
        </w:rPr>
        <w:t>11</w:t>
      </w:r>
      <w:r>
        <w:rPr>
          <w:rFonts w:hint="eastAsia" w:ascii="宋体" w:hAnsi="宋体" w:cs="宋体"/>
          <w:bCs/>
          <w:color w:val="000000"/>
          <w:sz w:val="24"/>
          <w:szCs w:val="24"/>
          <w:lang w:val="zh-CN"/>
        </w:rPr>
        <w:t>.合同修改：除供需双方签署书面修改、补充协议外，本合同条件不得有任何变化或修改。</w:t>
      </w:r>
    </w:p>
    <w:p w14:paraId="396D49BF">
      <w:pPr>
        <w:autoSpaceDE w:val="0"/>
        <w:autoSpaceDN w:val="0"/>
        <w:adjustRightInd w:val="0"/>
        <w:spacing w:line="336" w:lineRule="auto"/>
        <w:rPr>
          <w:rFonts w:hint="eastAsia" w:ascii="宋体" w:hAnsi="宋体" w:cs="宋体"/>
          <w:bCs/>
          <w:color w:val="000000"/>
          <w:sz w:val="24"/>
          <w:szCs w:val="24"/>
          <w:lang w:val="zh-CN"/>
        </w:rPr>
      </w:pPr>
      <w:r>
        <w:rPr>
          <w:rFonts w:hint="eastAsia" w:ascii="宋体" w:hAnsi="宋体" w:cs="宋体"/>
          <w:bCs/>
          <w:color w:val="000000"/>
          <w:sz w:val="24"/>
          <w:szCs w:val="24"/>
          <w:lang w:val="zh-CN"/>
        </w:rPr>
        <w:t xml:space="preserve">        需方：（加盖公章或合同专用章）                供方：（加盖公章或合同专用章）  </w:t>
      </w:r>
    </w:p>
    <w:p w14:paraId="30B2ECEB">
      <w:pPr>
        <w:autoSpaceDE w:val="0"/>
        <w:autoSpaceDN w:val="0"/>
        <w:adjustRightInd w:val="0"/>
        <w:spacing w:line="336" w:lineRule="auto"/>
        <w:ind w:firstLine="960" w:firstLineChars="400"/>
        <w:rPr>
          <w:rFonts w:hint="eastAsia" w:ascii="宋体" w:hAnsi="宋体" w:cs="宋体"/>
          <w:bCs/>
          <w:color w:val="000000"/>
          <w:sz w:val="24"/>
          <w:szCs w:val="24"/>
          <w:lang w:val="zh-CN"/>
        </w:rPr>
      </w:pPr>
      <w:r>
        <w:rPr>
          <w:rFonts w:hint="eastAsia" w:ascii="宋体" w:hAnsi="宋体" w:cs="宋体"/>
          <w:bCs/>
          <w:color w:val="000000"/>
          <w:sz w:val="24"/>
          <w:szCs w:val="24"/>
          <w:lang w:val="zh-CN"/>
        </w:rPr>
        <w:t xml:space="preserve">地址：                   </w:t>
      </w:r>
      <w:r>
        <w:rPr>
          <w:rFonts w:hint="eastAsia" w:ascii="宋体" w:hAnsi="宋体" w:cs="宋体"/>
          <w:bCs/>
          <w:color w:val="000000"/>
          <w:sz w:val="24"/>
          <w:szCs w:val="24"/>
        </w:rPr>
        <w:t xml:space="preserve">                    </w:t>
      </w:r>
      <w:r>
        <w:rPr>
          <w:rFonts w:hint="eastAsia" w:ascii="宋体" w:hAnsi="宋体" w:cs="宋体"/>
          <w:bCs/>
          <w:color w:val="000000"/>
          <w:sz w:val="24"/>
          <w:szCs w:val="24"/>
          <w:lang w:val="zh-CN"/>
        </w:rPr>
        <w:t>地址：</w:t>
      </w:r>
    </w:p>
    <w:p w14:paraId="5B37C69D">
      <w:pPr>
        <w:autoSpaceDE w:val="0"/>
        <w:autoSpaceDN w:val="0"/>
        <w:adjustRightInd w:val="0"/>
        <w:spacing w:line="336" w:lineRule="auto"/>
        <w:rPr>
          <w:rFonts w:hint="eastAsia" w:ascii="宋体" w:hAnsi="宋体" w:cs="宋体"/>
          <w:bCs/>
          <w:color w:val="000000"/>
          <w:sz w:val="24"/>
          <w:szCs w:val="24"/>
          <w:lang w:val="zh-CN"/>
        </w:rPr>
      </w:pPr>
      <w:r>
        <w:rPr>
          <w:rFonts w:hint="eastAsia" w:ascii="宋体" w:hAnsi="宋体" w:cs="宋体"/>
          <w:bCs/>
          <w:color w:val="000000"/>
          <w:sz w:val="24"/>
          <w:szCs w:val="24"/>
          <w:lang w:val="zh-CN"/>
        </w:rPr>
        <w:t xml:space="preserve">        法定代表人或授权代理人签字：                 法定代表人或授权代理人签字：</w:t>
      </w:r>
    </w:p>
    <w:p w14:paraId="05CB6DAC">
      <w:pPr>
        <w:autoSpaceDE w:val="0"/>
        <w:autoSpaceDN w:val="0"/>
        <w:adjustRightInd w:val="0"/>
        <w:spacing w:line="336" w:lineRule="auto"/>
        <w:ind w:firstLine="960" w:firstLineChars="400"/>
        <w:rPr>
          <w:rFonts w:hint="eastAsia" w:ascii="宋体" w:hAnsi="宋体" w:cs="宋体"/>
          <w:bCs/>
          <w:color w:val="000000"/>
          <w:sz w:val="24"/>
          <w:szCs w:val="24"/>
          <w:lang w:val="zh-CN"/>
        </w:rPr>
      </w:pPr>
      <w:r>
        <w:rPr>
          <w:rFonts w:hint="eastAsia" w:ascii="宋体" w:hAnsi="宋体" w:cs="宋体"/>
          <w:bCs/>
          <w:color w:val="000000"/>
          <w:sz w:val="24"/>
          <w:szCs w:val="24"/>
          <w:lang w:val="zh-CN"/>
        </w:rPr>
        <w:t xml:space="preserve">签字日期：               </w:t>
      </w:r>
      <w:r>
        <w:rPr>
          <w:rFonts w:hint="eastAsia" w:ascii="宋体" w:hAnsi="宋体" w:cs="宋体"/>
          <w:bCs/>
          <w:color w:val="000000"/>
          <w:sz w:val="24"/>
          <w:szCs w:val="24"/>
        </w:rPr>
        <w:t xml:space="preserve">                    </w:t>
      </w:r>
      <w:r>
        <w:rPr>
          <w:rFonts w:hint="eastAsia" w:ascii="宋体" w:hAnsi="宋体" w:cs="宋体"/>
          <w:bCs/>
          <w:color w:val="000000"/>
          <w:sz w:val="24"/>
          <w:szCs w:val="24"/>
          <w:lang w:val="zh-CN"/>
        </w:rPr>
        <w:t>签字日期：</w:t>
      </w:r>
    </w:p>
    <w:p w14:paraId="683B23E4">
      <w:pPr>
        <w:autoSpaceDE w:val="0"/>
        <w:autoSpaceDN w:val="0"/>
        <w:adjustRightInd w:val="0"/>
        <w:spacing w:line="336" w:lineRule="auto"/>
        <w:ind w:firstLine="960" w:firstLineChars="400"/>
        <w:rPr>
          <w:rFonts w:hint="eastAsia" w:ascii="宋体" w:hAnsi="宋体" w:cs="宋体"/>
          <w:bCs/>
          <w:color w:val="000000"/>
          <w:sz w:val="24"/>
          <w:szCs w:val="24"/>
          <w:lang w:val="zh-CN"/>
        </w:rPr>
      </w:pPr>
      <w:r>
        <w:rPr>
          <w:rFonts w:hint="eastAsia" w:ascii="宋体" w:hAnsi="宋体" w:cs="宋体"/>
          <w:bCs/>
          <w:color w:val="000000"/>
          <w:sz w:val="24"/>
          <w:szCs w:val="24"/>
          <w:lang w:val="zh-CN"/>
        </w:rPr>
        <w:t xml:space="preserve">邮政编码：               </w:t>
      </w:r>
      <w:r>
        <w:rPr>
          <w:rFonts w:hint="eastAsia" w:ascii="宋体" w:hAnsi="宋体" w:cs="宋体"/>
          <w:bCs/>
          <w:color w:val="000000"/>
          <w:sz w:val="24"/>
          <w:szCs w:val="24"/>
        </w:rPr>
        <w:t xml:space="preserve">                    </w:t>
      </w:r>
      <w:r>
        <w:rPr>
          <w:rFonts w:hint="eastAsia" w:ascii="宋体" w:hAnsi="宋体" w:cs="宋体"/>
          <w:bCs/>
          <w:color w:val="000000"/>
          <w:sz w:val="24"/>
          <w:szCs w:val="24"/>
          <w:lang w:val="zh-CN"/>
        </w:rPr>
        <w:t>邮政编码：</w:t>
      </w:r>
    </w:p>
    <w:p w14:paraId="3FDCDBD0">
      <w:pPr>
        <w:autoSpaceDE w:val="0"/>
        <w:autoSpaceDN w:val="0"/>
        <w:adjustRightInd w:val="0"/>
        <w:spacing w:line="336" w:lineRule="auto"/>
        <w:ind w:firstLine="480"/>
        <w:rPr>
          <w:rFonts w:hint="eastAsia" w:ascii="宋体" w:hAnsi="宋体" w:cs="宋体"/>
          <w:bCs/>
          <w:color w:val="000000"/>
          <w:sz w:val="24"/>
          <w:szCs w:val="24"/>
          <w:lang w:val="zh-CN"/>
        </w:rPr>
      </w:pPr>
      <w:r>
        <w:rPr>
          <w:rFonts w:hint="eastAsia" w:ascii="宋体" w:hAnsi="宋体" w:cs="宋体"/>
          <w:bCs/>
          <w:color w:val="000000"/>
          <w:sz w:val="24"/>
          <w:szCs w:val="24"/>
          <w:lang w:val="zh-CN"/>
        </w:rPr>
        <w:t xml:space="preserve">                             </w:t>
      </w:r>
      <w:r>
        <w:rPr>
          <w:rFonts w:hint="eastAsia" w:ascii="宋体" w:hAnsi="宋体" w:cs="宋体"/>
          <w:bCs/>
          <w:color w:val="000000"/>
          <w:sz w:val="24"/>
          <w:szCs w:val="24"/>
        </w:rPr>
        <w:t xml:space="preserve">                    </w:t>
      </w:r>
      <w:r>
        <w:rPr>
          <w:rFonts w:hint="eastAsia" w:ascii="宋体" w:hAnsi="宋体" w:cs="宋体"/>
          <w:bCs/>
          <w:color w:val="000000"/>
          <w:sz w:val="24"/>
          <w:szCs w:val="24"/>
          <w:lang w:val="zh-CN"/>
        </w:rPr>
        <w:t>电话：</w:t>
      </w:r>
    </w:p>
    <w:p w14:paraId="16E98951">
      <w:pPr>
        <w:autoSpaceDE w:val="0"/>
        <w:autoSpaceDN w:val="0"/>
        <w:adjustRightInd w:val="0"/>
        <w:spacing w:line="336" w:lineRule="auto"/>
        <w:ind w:firstLine="6302" w:firstLineChars="2626"/>
        <w:rPr>
          <w:rFonts w:hint="eastAsia" w:ascii="宋体" w:hAnsi="宋体" w:cs="宋体"/>
          <w:bCs/>
          <w:color w:val="000000"/>
          <w:sz w:val="24"/>
          <w:szCs w:val="24"/>
          <w:lang w:val="zh-CN"/>
        </w:rPr>
      </w:pPr>
      <w:r>
        <w:rPr>
          <w:rFonts w:hint="eastAsia" w:ascii="宋体" w:hAnsi="宋体" w:cs="宋体"/>
          <w:bCs/>
          <w:color w:val="000000"/>
          <w:sz w:val="24"/>
          <w:szCs w:val="24"/>
          <w:lang w:val="zh-CN"/>
        </w:rPr>
        <w:t>传真：</w:t>
      </w:r>
    </w:p>
    <w:p w14:paraId="1845983C">
      <w:pPr>
        <w:autoSpaceDE w:val="0"/>
        <w:autoSpaceDN w:val="0"/>
        <w:adjustRightInd w:val="0"/>
        <w:spacing w:line="336" w:lineRule="auto"/>
        <w:rPr>
          <w:rFonts w:hint="eastAsia" w:ascii="宋体" w:hAnsi="宋体" w:cs="宋体"/>
          <w:bCs/>
          <w:color w:val="000000"/>
          <w:sz w:val="24"/>
          <w:szCs w:val="24"/>
          <w:lang w:val="zh-CN"/>
        </w:rPr>
      </w:pPr>
      <w:r>
        <w:rPr>
          <w:rFonts w:hint="eastAsia" w:ascii="宋体" w:hAnsi="宋体" w:cs="宋体"/>
          <w:bCs/>
          <w:color w:val="000000"/>
          <w:sz w:val="24"/>
          <w:szCs w:val="24"/>
          <w:lang w:val="zh-CN"/>
        </w:rPr>
        <w:t xml:space="preserve">                                 </w:t>
      </w:r>
      <w:r>
        <w:rPr>
          <w:rFonts w:hint="eastAsia" w:ascii="宋体" w:hAnsi="宋体" w:cs="宋体"/>
          <w:bCs/>
          <w:color w:val="000000"/>
          <w:sz w:val="24"/>
          <w:szCs w:val="24"/>
        </w:rPr>
        <w:t xml:space="preserve">                    </w:t>
      </w:r>
      <w:r>
        <w:rPr>
          <w:rFonts w:hint="eastAsia" w:ascii="宋体" w:hAnsi="宋体" w:cs="宋体"/>
          <w:bCs/>
          <w:color w:val="000000"/>
          <w:sz w:val="24"/>
          <w:szCs w:val="24"/>
          <w:lang w:val="zh-CN"/>
        </w:rPr>
        <w:t>联系人：</w:t>
      </w:r>
    </w:p>
    <w:p w14:paraId="40EDE4ED">
      <w:pPr>
        <w:autoSpaceDE w:val="0"/>
        <w:autoSpaceDN w:val="0"/>
        <w:adjustRightInd w:val="0"/>
        <w:spacing w:line="336" w:lineRule="auto"/>
        <w:rPr>
          <w:rFonts w:hint="eastAsia" w:ascii="宋体" w:hAnsi="宋体" w:cs="宋体"/>
          <w:bCs/>
          <w:color w:val="000000"/>
          <w:sz w:val="24"/>
          <w:szCs w:val="24"/>
          <w:lang w:val="zh-CN"/>
        </w:rPr>
      </w:pPr>
      <w:r>
        <w:rPr>
          <w:rFonts w:hint="eastAsia" w:ascii="宋体" w:hAnsi="宋体" w:cs="宋体"/>
          <w:bCs/>
          <w:color w:val="000000"/>
          <w:sz w:val="24"/>
          <w:szCs w:val="24"/>
          <w:lang w:val="zh-CN"/>
        </w:rPr>
        <w:t xml:space="preserve">                                 </w:t>
      </w:r>
      <w:r>
        <w:rPr>
          <w:rFonts w:hint="eastAsia" w:ascii="宋体" w:hAnsi="宋体" w:cs="宋体"/>
          <w:bCs/>
          <w:color w:val="000000"/>
          <w:sz w:val="24"/>
          <w:szCs w:val="24"/>
        </w:rPr>
        <w:t xml:space="preserve">                    </w:t>
      </w:r>
      <w:r>
        <w:rPr>
          <w:rFonts w:hint="eastAsia" w:ascii="宋体" w:hAnsi="宋体" w:cs="宋体"/>
          <w:bCs/>
          <w:color w:val="000000"/>
          <w:sz w:val="24"/>
          <w:szCs w:val="24"/>
          <w:lang w:val="zh-CN"/>
        </w:rPr>
        <w:t>开户银行：</w:t>
      </w:r>
    </w:p>
    <w:p w14:paraId="01743B9B">
      <w:pPr>
        <w:autoSpaceDE w:val="0"/>
        <w:autoSpaceDN w:val="0"/>
        <w:adjustRightInd w:val="0"/>
        <w:spacing w:line="336" w:lineRule="auto"/>
        <w:rPr>
          <w:rFonts w:hint="eastAsia" w:ascii="宋体" w:hAnsi="宋体" w:cs="宋体"/>
          <w:bCs/>
          <w:color w:val="000000"/>
          <w:sz w:val="24"/>
          <w:szCs w:val="24"/>
          <w:lang w:val="zh-CN"/>
        </w:rPr>
      </w:pPr>
      <w:r>
        <w:rPr>
          <w:rFonts w:hint="eastAsia" w:ascii="宋体" w:hAnsi="宋体" w:cs="宋体"/>
          <w:bCs/>
          <w:color w:val="000000"/>
          <w:sz w:val="24"/>
          <w:szCs w:val="24"/>
          <w:lang w:val="zh-CN"/>
        </w:rPr>
        <w:t xml:space="preserve">                                 </w:t>
      </w:r>
      <w:r>
        <w:rPr>
          <w:rFonts w:hint="eastAsia" w:ascii="宋体" w:hAnsi="宋体" w:cs="宋体"/>
          <w:bCs/>
          <w:color w:val="000000"/>
          <w:sz w:val="24"/>
          <w:szCs w:val="24"/>
        </w:rPr>
        <w:t xml:space="preserve">                    </w:t>
      </w:r>
      <w:r>
        <w:rPr>
          <w:rFonts w:hint="eastAsia" w:ascii="宋体" w:hAnsi="宋体" w:cs="宋体"/>
          <w:bCs/>
          <w:color w:val="000000"/>
          <w:sz w:val="24"/>
          <w:szCs w:val="24"/>
          <w:lang w:val="zh-CN"/>
        </w:rPr>
        <w:t>帐户名称：</w:t>
      </w:r>
    </w:p>
    <w:p w14:paraId="631F652D">
      <w:pPr>
        <w:autoSpaceDE w:val="0"/>
        <w:autoSpaceDN w:val="0"/>
        <w:adjustRightInd w:val="0"/>
        <w:spacing w:line="336" w:lineRule="auto"/>
        <w:rPr>
          <w:rFonts w:hint="eastAsia" w:ascii="宋体" w:hAnsi="宋体" w:cs="宋体"/>
          <w:bCs/>
          <w:color w:val="000000"/>
          <w:sz w:val="24"/>
          <w:szCs w:val="24"/>
          <w:lang w:val="zh-CN"/>
        </w:rPr>
      </w:pPr>
      <w:r>
        <w:rPr>
          <w:rFonts w:hint="eastAsia" w:ascii="宋体" w:hAnsi="宋体" w:cs="宋体"/>
          <w:bCs/>
          <w:color w:val="000000"/>
          <w:sz w:val="24"/>
          <w:szCs w:val="24"/>
          <w:lang w:val="zh-CN"/>
        </w:rPr>
        <w:t xml:space="preserve">                                 </w:t>
      </w:r>
      <w:r>
        <w:rPr>
          <w:rFonts w:hint="eastAsia" w:ascii="宋体" w:hAnsi="宋体" w:cs="宋体"/>
          <w:bCs/>
          <w:color w:val="000000"/>
          <w:sz w:val="24"/>
          <w:szCs w:val="24"/>
        </w:rPr>
        <w:t xml:space="preserve">                    </w:t>
      </w:r>
      <w:r>
        <w:rPr>
          <w:rFonts w:hint="eastAsia" w:ascii="宋体" w:hAnsi="宋体" w:cs="宋体"/>
          <w:bCs/>
          <w:color w:val="000000"/>
          <w:sz w:val="24"/>
          <w:szCs w:val="24"/>
          <w:lang w:val="zh-CN"/>
        </w:rPr>
        <w:t>帐号：</w:t>
      </w:r>
    </w:p>
    <w:p w14:paraId="46794E35">
      <w:pPr>
        <w:pStyle w:val="2"/>
        <w:rPr>
          <w:sz w:val="32"/>
          <w:szCs w:val="32"/>
          <w:highlight w:val="green"/>
        </w:rPr>
      </w:pPr>
      <w:bookmarkStart w:id="24" w:name="_Toc359494611"/>
      <w:bookmarkStart w:id="25" w:name="_Toc29433"/>
      <w:r>
        <w:rPr>
          <w:rFonts w:hint="eastAsia"/>
          <w:sz w:val="32"/>
          <w:szCs w:val="32"/>
        </w:rPr>
        <w:t xml:space="preserve">第五章  </w:t>
      </w:r>
      <w:bookmarkEnd w:id="24"/>
      <w:bookmarkStart w:id="26" w:name="_Toc359494612"/>
      <w:r>
        <w:rPr>
          <w:rFonts w:hint="eastAsia"/>
          <w:sz w:val="32"/>
          <w:szCs w:val="32"/>
        </w:rPr>
        <w:t>采购需求</w:t>
      </w:r>
      <w:bookmarkEnd w:id="25"/>
    </w:p>
    <w:p w14:paraId="36BA2AE9">
      <w:pPr>
        <w:pStyle w:val="7"/>
        <w:rPr>
          <w:rFonts w:ascii="宋体" w:cs="宋体"/>
          <w:bCs/>
          <w:szCs w:val="21"/>
          <w:lang w:val="zh-CN"/>
        </w:rPr>
      </w:pPr>
      <w:r>
        <w:rPr>
          <w:rFonts w:hint="eastAsia" w:ascii="宋体" w:cs="宋体"/>
          <w:bCs/>
          <w:szCs w:val="21"/>
        </w:rPr>
        <w:t>一</w:t>
      </w:r>
      <w:r>
        <w:rPr>
          <w:rFonts w:hint="eastAsia" w:ascii="宋体" w:cs="宋体"/>
          <w:bCs/>
          <w:szCs w:val="21"/>
          <w:lang w:val="zh-CN"/>
        </w:rPr>
        <w:t>、商务要求</w:t>
      </w:r>
    </w:p>
    <w:p w14:paraId="1F0CF674">
      <w:pPr>
        <w:pStyle w:val="7"/>
        <w:rPr>
          <w:rFonts w:ascii="宋体" w:cs="宋体"/>
          <w:bCs/>
          <w:szCs w:val="21"/>
          <w:lang w:val="zh-CN"/>
        </w:rPr>
      </w:pPr>
      <w:r>
        <w:rPr>
          <w:rFonts w:hint="eastAsia" w:ascii="宋体" w:cs="宋体"/>
          <w:bCs/>
          <w:szCs w:val="21"/>
          <w:lang w:val="zh-CN"/>
        </w:rPr>
        <w:t>交货时间：</w:t>
      </w:r>
      <w:r>
        <w:rPr>
          <w:rFonts w:hint="eastAsia" w:ascii="宋体" w:hAnsi="宋体" w:cs="宋体"/>
          <w:szCs w:val="21"/>
        </w:rPr>
        <w:t>合同订立后45天</w:t>
      </w:r>
    </w:p>
    <w:p w14:paraId="4F577065">
      <w:pPr>
        <w:pStyle w:val="7"/>
        <w:rPr>
          <w:rFonts w:ascii="宋体" w:cs="宋体"/>
          <w:bCs/>
          <w:szCs w:val="21"/>
          <w:lang w:val="zh-CN"/>
        </w:rPr>
      </w:pPr>
      <w:r>
        <w:rPr>
          <w:rFonts w:hint="eastAsia" w:ascii="宋体" w:cs="宋体"/>
          <w:bCs/>
          <w:szCs w:val="21"/>
          <w:lang w:val="zh-CN"/>
        </w:rPr>
        <w:t>交货地点：吉林省四平市铁东区长发路1299号吉林工程职业学院</w:t>
      </w:r>
    </w:p>
    <w:p w14:paraId="687FABA1">
      <w:pPr>
        <w:pStyle w:val="7"/>
        <w:rPr>
          <w:rFonts w:ascii="宋体" w:cs="宋体"/>
          <w:bCs/>
          <w:szCs w:val="21"/>
          <w:lang w:val="zh-CN"/>
        </w:rPr>
      </w:pPr>
      <w:r>
        <w:rPr>
          <w:rFonts w:hint="eastAsia" w:ascii="宋体" w:cs="宋体"/>
          <w:bCs/>
          <w:szCs w:val="21"/>
          <w:lang w:val="zh-CN"/>
        </w:rPr>
        <w:t>交货方式：中标人负责将货物安全完好运抵交货地点、安装调试并保证验收合格</w:t>
      </w:r>
    </w:p>
    <w:p w14:paraId="04E830A2">
      <w:pPr>
        <w:pStyle w:val="7"/>
        <w:rPr>
          <w:rFonts w:ascii="宋体" w:cs="宋体"/>
          <w:bCs/>
          <w:szCs w:val="21"/>
          <w:lang w:val="zh-CN"/>
        </w:rPr>
      </w:pPr>
      <w:r>
        <w:rPr>
          <w:rFonts w:hint="eastAsia" w:ascii="宋体" w:cs="宋体"/>
          <w:bCs/>
          <w:szCs w:val="21"/>
          <w:lang w:val="zh-CN"/>
        </w:rPr>
        <w:t>质量保证期：质保期</w:t>
      </w:r>
      <w:r>
        <w:rPr>
          <w:rFonts w:hint="eastAsia" w:ascii="宋体" w:cs="宋体"/>
          <w:bCs/>
          <w:szCs w:val="21"/>
        </w:rPr>
        <w:t>一</w:t>
      </w:r>
      <w:r>
        <w:rPr>
          <w:rFonts w:hint="eastAsia" w:ascii="宋体" w:cs="宋体"/>
          <w:bCs/>
          <w:szCs w:val="21"/>
          <w:lang w:val="zh-CN"/>
        </w:rPr>
        <w:t>年</w:t>
      </w:r>
    </w:p>
    <w:p w14:paraId="5A9E74F7">
      <w:pPr>
        <w:pStyle w:val="7"/>
        <w:numPr>
          <w:ilvl w:val="0"/>
          <w:numId w:val="3"/>
        </w:numPr>
        <w:rPr>
          <w:rFonts w:ascii="宋体" w:cs="宋体"/>
          <w:bCs/>
          <w:szCs w:val="21"/>
          <w:lang w:val="zh-CN"/>
        </w:rPr>
      </w:pPr>
      <w:r>
        <w:rPr>
          <w:rFonts w:hint="eastAsia" w:ascii="宋体" w:cs="宋体"/>
          <w:bCs/>
          <w:szCs w:val="21"/>
        </w:rPr>
        <w:t>技术</w:t>
      </w:r>
      <w:r>
        <w:rPr>
          <w:rFonts w:hint="eastAsia" w:ascii="宋体" w:cs="宋体"/>
          <w:bCs/>
          <w:szCs w:val="21"/>
          <w:lang w:val="zh-CN"/>
        </w:rPr>
        <w:t>要求</w:t>
      </w:r>
    </w:p>
    <w:tbl>
      <w:tblPr>
        <w:tblStyle w:val="21"/>
        <w:tblW w:w="4992"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 w:type="dxa"/>
          <w:bottom w:w="0" w:type="dxa"/>
          <w:right w:w="10" w:type="dxa"/>
        </w:tblCellMar>
      </w:tblPr>
      <w:tblGrid>
        <w:gridCol w:w="376"/>
        <w:gridCol w:w="1046"/>
        <w:gridCol w:w="6967"/>
        <w:gridCol w:w="697"/>
        <w:gridCol w:w="665"/>
      </w:tblGrid>
      <w:tr w14:paraId="2ED640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trHeight w:val="495" w:hRule="atLeast"/>
        </w:trPr>
        <w:tc>
          <w:tcPr>
            <w:tcW w:w="193" w:type="pct"/>
            <w:vAlign w:val="center"/>
          </w:tcPr>
          <w:p w14:paraId="0BFA17D4">
            <w:pPr>
              <w:pStyle w:val="80"/>
              <w:jc w:val="center"/>
              <w:rPr>
                <w:rFonts w:hint="eastAsia" w:ascii="宋体" w:hAnsi="宋体" w:cs="宋体"/>
                <w:b/>
                <w:bCs/>
                <w:lang w:val="zh-CN"/>
              </w:rPr>
            </w:pPr>
            <w:r>
              <w:rPr>
                <w:rFonts w:hint="eastAsia" w:ascii="宋体" w:hAnsi="宋体" w:cs="宋体"/>
                <w:b/>
                <w:bCs/>
                <w:lang w:val="zh-CN"/>
              </w:rPr>
              <w:t>序号</w:t>
            </w:r>
          </w:p>
        </w:tc>
        <w:tc>
          <w:tcPr>
            <w:tcW w:w="536" w:type="pct"/>
            <w:vAlign w:val="center"/>
          </w:tcPr>
          <w:p w14:paraId="1470C94E">
            <w:pPr>
              <w:pStyle w:val="80"/>
              <w:jc w:val="center"/>
              <w:rPr>
                <w:rFonts w:hint="eastAsia" w:ascii="宋体" w:hAnsi="宋体" w:cs="宋体"/>
                <w:b/>
                <w:bCs/>
                <w:lang w:val="zh-CN"/>
              </w:rPr>
            </w:pPr>
            <w:r>
              <w:rPr>
                <w:rFonts w:hint="eastAsia" w:ascii="宋体" w:hAnsi="宋体" w:cs="宋体"/>
                <w:b/>
                <w:bCs/>
                <w:lang w:val="zh-CN"/>
              </w:rPr>
              <w:t>货物名称</w:t>
            </w:r>
          </w:p>
        </w:tc>
        <w:tc>
          <w:tcPr>
            <w:tcW w:w="3571" w:type="pct"/>
            <w:vAlign w:val="center"/>
          </w:tcPr>
          <w:p w14:paraId="45E76C09">
            <w:pPr>
              <w:pStyle w:val="80"/>
              <w:jc w:val="center"/>
              <w:rPr>
                <w:rFonts w:hint="eastAsia" w:ascii="宋体" w:hAnsi="宋体" w:cs="宋体"/>
                <w:b/>
                <w:bCs/>
                <w:lang w:val="zh-CN"/>
              </w:rPr>
            </w:pPr>
            <w:r>
              <w:rPr>
                <w:rFonts w:hint="eastAsia" w:ascii="宋体" w:hAnsi="宋体" w:cs="宋体"/>
                <w:b/>
                <w:bCs/>
                <w:lang w:val="zh-CN"/>
              </w:rPr>
              <w:t>主要功能配置及技术指标要求</w:t>
            </w:r>
          </w:p>
        </w:tc>
        <w:tc>
          <w:tcPr>
            <w:tcW w:w="357" w:type="pct"/>
            <w:vAlign w:val="center"/>
          </w:tcPr>
          <w:p w14:paraId="5A285FAC">
            <w:pPr>
              <w:pStyle w:val="80"/>
              <w:jc w:val="center"/>
              <w:rPr>
                <w:rFonts w:hint="eastAsia" w:ascii="宋体" w:hAnsi="宋体" w:cs="宋体"/>
                <w:b/>
                <w:bCs/>
                <w:lang w:val="zh-CN"/>
              </w:rPr>
            </w:pPr>
            <w:r>
              <w:rPr>
                <w:rFonts w:hint="eastAsia" w:ascii="宋体" w:hAnsi="宋体" w:cs="宋体"/>
                <w:b/>
                <w:bCs/>
                <w:lang w:val="zh-CN"/>
              </w:rPr>
              <w:t>数量</w:t>
            </w:r>
          </w:p>
        </w:tc>
        <w:tc>
          <w:tcPr>
            <w:tcW w:w="341" w:type="pct"/>
          </w:tcPr>
          <w:p w14:paraId="59EB317C">
            <w:pPr>
              <w:pStyle w:val="80"/>
              <w:jc w:val="center"/>
              <w:rPr>
                <w:rFonts w:hint="eastAsia" w:ascii="宋体" w:hAnsi="宋体" w:cs="宋体"/>
                <w:b/>
                <w:bCs/>
                <w:lang w:val="zh-CN"/>
              </w:rPr>
            </w:pPr>
            <w:r>
              <w:rPr>
                <w:rFonts w:hint="eastAsia" w:ascii="宋体" w:hAnsi="宋体" w:cs="宋体"/>
                <w:b/>
                <w:bCs/>
                <w:lang w:val="zh-CN"/>
              </w:rPr>
              <w:t>数量单位</w:t>
            </w:r>
          </w:p>
        </w:tc>
      </w:tr>
      <w:tr w14:paraId="2C7FAA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trHeight w:val="476" w:hRule="atLeast"/>
        </w:trPr>
        <w:tc>
          <w:tcPr>
            <w:tcW w:w="193" w:type="pct"/>
            <w:vAlign w:val="center"/>
          </w:tcPr>
          <w:p w14:paraId="6C70BD60">
            <w:pPr>
              <w:jc w:val="center"/>
              <w:rPr>
                <w:rFonts w:hint="eastAsia" w:ascii="宋体" w:hAnsi="宋体" w:cs="宋体"/>
                <w:b/>
                <w:bCs/>
                <w:szCs w:val="21"/>
              </w:rPr>
            </w:pPr>
            <w:r>
              <w:rPr>
                <w:rFonts w:hint="eastAsia" w:ascii="宋体" w:hAnsi="宋体" w:cs="宋体"/>
                <w:szCs w:val="21"/>
              </w:rPr>
              <w:t>1</w:t>
            </w:r>
          </w:p>
        </w:tc>
        <w:tc>
          <w:tcPr>
            <w:tcW w:w="536" w:type="pct"/>
            <w:vAlign w:val="center"/>
          </w:tcPr>
          <w:p w14:paraId="3C1DFA8B">
            <w:pPr>
              <w:jc w:val="center"/>
              <w:rPr>
                <w:rFonts w:hint="eastAsia" w:ascii="宋体" w:hAnsi="宋体" w:cs="宋体"/>
                <w:szCs w:val="21"/>
              </w:rPr>
            </w:pPr>
            <w:r>
              <w:rPr>
                <w:rFonts w:hint="eastAsia" w:ascii="宋体" w:hAnsi="宋体" w:cs="宋体"/>
                <w:szCs w:val="21"/>
              </w:rPr>
              <w:t>纯电动全车实训系统</w:t>
            </w:r>
          </w:p>
        </w:tc>
        <w:tc>
          <w:tcPr>
            <w:tcW w:w="3571" w:type="pct"/>
            <w:vAlign w:val="center"/>
          </w:tcPr>
          <w:p w14:paraId="65218B46">
            <w:pPr>
              <w:ind w:left="105" w:leftChars="50"/>
              <w:rPr>
                <w:rFonts w:hint="eastAsia" w:ascii="宋体" w:hAnsi="宋体" w:cs="宋体"/>
                <w:szCs w:val="21"/>
              </w:rPr>
            </w:pPr>
            <w:r>
              <w:rPr>
                <w:rFonts w:hint="eastAsia" w:ascii="宋体" w:hAnsi="宋体" w:cs="宋体"/>
                <w:szCs w:val="21"/>
              </w:rPr>
              <w:t>一、产品组成要求：</w:t>
            </w:r>
            <w:r>
              <w:rPr>
                <w:rFonts w:hint="eastAsia" w:ascii="宋体" w:hAnsi="宋体" w:cs="宋体"/>
                <w:szCs w:val="21"/>
              </w:rPr>
              <w:br w:type="textWrapping"/>
            </w:r>
            <w:r>
              <w:rPr>
                <w:rFonts w:hint="eastAsia" w:ascii="宋体" w:hAnsi="宋体" w:cs="宋体"/>
                <w:szCs w:val="21"/>
              </w:rPr>
              <w:t>整车实训系统为技术先进，搭载众多驾驶辅助系统，可以进行新能源汽车认知、操作、高压部件及结构认知、高压系统的断电/上电操作，高压系统及低压系统的数据流读取和故障诊断等教学内容。</w:t>
            </w:r>
            <w:r>
              <w:rPr>
                <w:rFonts w:hint="eastAsia" w:ascii="宋体" w:hAnsi="宋体" w:cs="宋体"/>
                <w:szCs w:val="21"/>
              </w:rPr>
              <w:br w:type="textWrapping"/>
            </w:r>
            <w:r>
              <w:rPr>
                <w:rFonts w:hint="eastAsia" w:ascii="宋体" w:hAnsi="宋体" w:cs="宋体"/>
                <w:szCs w:val="21"/>
              </w:rPr>
              <w:t>二、产品功能要求：</w:t>
            </w:r>
            <w:r>
              <w:rPr>
                <w:rFonts w:hint="eastAsia" w:ascii="宋体" w:hAnsi="宋体" w:cs="宋体"/>
                <w:szCs w:val="21"/>
              </w:rPr>
              <w:br w:type="textWrapping"/>
            </w:r>
            <w:r>
              <w:rPr>
                <w:rFonts w:hint="eastAsia" w:ascii="宋体" w:hAnsi="宋体" w:cs="宋体"/>
                <w:szCs w:val="21"/>
              </w:rPr>
              <w:t>1.车辆各种工况正常，可以启动、行驶、各系统功能操作等；能够通过原厂诊断电脑与诊断座，读取车辆信息、编码查询、读取故障代码、高压数据流、执行元件测试等测试功能，真实贴近维修一线的工作和内容。</w:t>
            </w:r>
            <w:r>
              <w:rPr>
                <w:rFonts w:hint="eastAsia" w:ascii="宋体" w:hAnsi="宋体" w:cs="宋体"/>
                <w:szCs w:val="21"/>
              </w:rPr>
              <w:br w:type="textWrapping"/>
            </w:r>
            <w:r>
              <w:rPr>
                <w:rFonts w:hint="eastAsia" w:ascii="宋体" w:hAnsi="宋体" w:cs="宋体"/>
                <w:szCs w:val="21"/>
              </w:rPr>
              <w:t>2.基于整车的高压维修可以真实反映诊断维修状态，并且标准实施诊断维修过程时需要对高压系统进行高压警示线、高压警示牌的放置，表现维修专业度和高压安全意识。</w:t>
            </w:r>
            <w:r>
              <w:rPr>
                <w:rFonts w:hint="eastAsia" w:ascii="宋体" w:hAnsi="宋体" w:cs="宋体"/>
                <w:szCs w:val="21"/>
              </w:rPr>
              <w:br w:type="textWrapping"/>
            </w:r>
            <w:r>
              <w:rPr>
                <w:rFonts w:hint="eastAsia" w:ascii="宋体" w:hAnsi="宋体" w:cs="宋体"/>
                <w:szCs w:val="21"/>
              </w:rPr>
              <w:t>三、产品规格要求：</w:t>
            </w:r>
            <w:r>
              <w:rPr>
                <w:rFonts w:hint="eastAsia" w:ascii="宋体" w:hAnsi="宋体" w:cs="宋体"/>
                <w:szCs w:val="21"/>
              </w:rPr>
              <w:br w:type="textWrapping"/>
            </w:r>
            <w:r>
              <w:rPr>
                <w:rFonts w:hint="eastAsia" w:ascii="宋体" w:hAnsi="宋体" w:cs="宋体"/>
                <w:szCs w:val="21"/>
              </w:rPr>
              <w:t>1、续航里程：≥431km；电池容量：≥54KWh；电机功率：≥140KW；最大扭矩：≥320N·m；车辆尺寸：≥5040×1910×1569mm；轴距：2990mm；电池类型：磷酸铁锂电池；电机类型：永磁同步电机。</w:t>
            </w:r>
            <w:r>
              <w:rPr>
                <w:rFonts w:hint="eastAsia" w:ascii="宋体" w:hAnsi="宋体" w:cs="宋体"/>
                <w:szCs w:val="21"/>
              </w:rPr>
              <w:br w:type="textWrapping"/>
            </w:r>
            <w:r>
              <w:rPr>
                <w:rFonts w:hint="eastAsia" w:ascii="宋体" w:hAnsi="宋体" w:cs="宋体"/>
                <w:szCs w:val="21"/>
              </w:rPr>
              <w:t>2、驾驶辅助系统：车道偏离预警系统、车保保持辅助系统、道路交通标示识别、主动刹车/主动安全系统、全速自适应巡航系统、自动驻车,远程启动功能，电池预加热，低速行车警告，电子挡把换挡等配置功能。</w:t>
            </w:r>
            <w:r>
              <w:rPr>
                <w:rFonts w:hint="eastAsia" w:ascii="宋体" w:hAnsi="宋体" w:cs="宋体"/>
                <w:szCs w:val="21"/>
              </w:rPr>
              <w:br w:type="textWrapping"/>
            </w:r>
            <w:r>
              <w:rPr>
                <w:rFonts w:hint="eastAsia" w:ascii="宋体" w:hAnsi="宋体" w:cs="宋体"/>
                <w:szCs w:val="21"/>
              </w:rPr>
              <w:t xml:space="preserve">提供实训室管理系统： </w:t>
            </w:r>
            <w:r>
              <w:rPr>
                <w:rFonts w:hint="eastAsia" w:ascii="宋体" w:hAnsi="宋体" w:cs="宋体"/>
                <w:szCs w:val="21"/>
              </w:rPr>
              <w:br w:type="textWrapping"/>
            </w:r>
            <w:r>
              <w:rPr>
                <w:rFonts w:hint="eastAsia" w:ascii="宋体" w:hAnsi="宋体" w:cs="宋体"/>
                <w:szCs w:val="21"/>
              </w:rPr>
              <w:t xml:space="preserve">1.B/S 结构，登录页面可根据学校需求定制 LOGO 等功能。 </w:t>
            </w:r>
            <w:r>
              <w:rPr>
                <w:rFonts w:hint="eastAsia" w:ascii="宋体" w:hAnsi="宋体" w:cs="宋体"/>
                <w:szCs w:val="21"/>
              </w:rPr>
              <w:br w:type="textWrapping"/>
            </w:r>
            <w:r>
              <w:rPr>
                <w:rFonts w:hint="eastAsia" w:ascii="宋体" w:hAnsi="宋体" w:cs="宋体"/>
                <w:szCs w:val="21"/>
              </w:rPr>
              <w:t xml:space="preserve">2.支持登录角色账户分权管理包含管理员、教师、学生三端、可自主注册教师及学生登录账号。（以上功能提供截图证明） </w:t>
            </w:r>
            <w:r>
              <w:rPr>
                <w:rFonts w:hint="eastAsia" w:ascii="宋体" w:hAnsi="宋体" w:cs="宋体"/>
                <w:szCs w:val="21"/>
              </w:rPr>
              <w:br w:type="textWrapping"/>
            </w:r>
            <w:r>
              <w:rPr>
                <w:rFonts w:hint="eastAsia" w:ascii="宋体" w:hAnsi="宋体" w:cs="宋体"/>
                <w:szCs w:val="21"/>
              </w:rPr>
              <w:t xml:space="preserve">3.提供用户管理模块：可针对各级用户进行增、删、改、查操作，提供用户相关信息包含权限名称、登陆账号、真实姓名、学号工号、学院、班级等信息，同时超级管理员可以进行相关权限管理。 （以上功能提供截图证明） </w:t>
            </w:r>
            <w:r>
              <w:rPr>
                <w:rFonts w:hint="eastAsia" w:ascii="宋体" w:hAnsi="宋体" w:cs="宋体"/>
                <w:szCs w:val="21"/>
              </w:rPr>
              <w:br w:type="textWrapping"/>
            </w:r>
            <w:r>
              <w:rPr>
                <w:rFonts w:hint="eastAsia" w:ascii="宋体" w:hAnsi="宋体" w:cs="宋体"/>
                <w:szCs w:val="21"/>
              </w:rPr>
              <w:t xml:space="preserve">4.提供通知管理模块：添加相关通知信息、针对通知信息进行增、删、改、查操作管理。（以上功能提供截图证明） </w:t>
            </w:r>
            <w:r>
              <w:rPr>
                <w:rFonts w:hint="eastAsia" w:ascii="宋体" w:hAnsi="宋体" w:cs="宋体"/>
                <w:szCs w:val="21"/>
              </w:rPr>
              <w:br w:type="textWrapping"/>
            </w:r>
            <w:r>
              <w:rPr>
                <w:rFonts w:hint="eastAsia" w:ascii="宋体" w:hAnsi="宋体" w:cs="宋体"/>
                <w:szCs w:val="21"/>
              </w:rPr>
              <w:t xml:space="preserve">5.提供实训管理模块：包含实训基本信息、实训大纲、实训预约、实训规章制度管理 ≥4 个子模块。基本信息包含名称、负责人、功能、地点、添加时间等，提供按名称负责人查询功能。预约模块提供预约申请及、取消预约，包含场地及设备预约功能。（以上功能提供截图证明） </w:t>
            </w:r>
            <w:r>
              <w:rPr>
                <w:rFonts w:hint="eastAsia" w:ascii="宋体" w:hAnsi="宋体" w:cs="宋体"/>
                <w:szCs w:val="21"/>
              </w:rPr>
              <w:br w:type="textWrapping"/>
            </w:r>
            <w:r>
              <w:rPr>
                <w:rFonts w:hint="eastAsia" w:ascii="宋体" w:hAnsi="宋体" w:cs="宋体"/>
                <w:szCs w:val="21"/>
              </w:rPr>
              <w:t xml:space="preserve">6.提供课程与设备管理模块：包含课程与设备详情、管理≥ 2个子模块。其中课程与设备详情可添加对应课程及设备相关信息等内容，管理可添加对应图片等说明。 （以上功能提供截图证明） </w:t>
            </w:r>
            <w:r>
              <w:rPr>
                <w:rFonts w:hint="eastAsia" w:ascii="宋体" w:hAnsi="宋体" w:cs="宋体"/>
                <w:szCs w:val="21"/>
              </w:rPr>
              <w:br w:type="textWrapping"/>
            </w:r>
            <w:r>
              <w:rPr>
                <w:rFonts w:hint="eastAsia" w:ascii="宋体" w:hAnsi="宋体" w:cs="宋体"/>
                <w:szCs w:val="21"/>
              </w:rPr>
              <w:t xml:space="preserve">7.提供设备借用管理模块：实现借用设备及归还设备管理。（以上功能提供截图证明） </w:t>
            </w:r>
            <w:r>
              <w:rPr>
                <w:rFonts w:hint="eastAsia" w:ascii="宋体" w:hAnsi="宋体" w:cs="宋体"/>
                <w:szCs w:val="21"/>
              </w:rPr>
              <w:br w:type="textWrapping"/>
            </w:r>
            <w:r>
              <w:rPr>
                <w:rFonts w:hint="eastAsia" w:ascii="宋体" w:hAnsi="宋体" w:cs="宋体"/>
                <w:szCs w:val="21"/>
              </w:rPr>
              <w:t xml:space="preserve">8.提供设备维修管理模块：提供维修管理子模块：包含设备基本信息、报修信息添加、是否维修状态管理等功能。提供报修日志管理子模块，统计维修详情、支持导出表格。（以上功能提供截图证明） </w:t>
            </w:r>
            <w:r>
              <w:rPr>
                <w:rFonts w:hint="eastAsia" w:ascii="宋体" w:hAnsi="宋体" w:cs="宋体"/>
                <w:szCs w:val="21"/>
              </w:rPr>
              <w:br w:type="textWrapping"/>
            </w:r>
            <w:r>
              <w:rPr>
                <w:rFonts w:hint="eastAsia" w:ascii="宋体" w:hAnsi="宋体" w:cs="宋体"/>
                <w:szCs w:val="21"/>
              </w:rPr>
              <w:t xml:space="preserve">9.提供报表统计功能模块：包含实训预约人统计表子模块以及借用统计表模块，提供通过名称、预约人查询功能。（以上功能提供截图证明） </w:t>
            </w:r>
            <w:r>
              <w:rPr>
                <w:rFonts w:hint="eastAsia" w:ascii="宋体" w:hAnsi="宋体" w:cs="宋体"/>
                <w:szCs w:val="21"/>
              </w:rPr>
              <w:br w:type="textWrapping"/>
            </w:r>
            <w:r>
              <w:rPr>
                <w:rFonts w:hint="eastAsia" w:ascii="宋体" w:hAnsi="宋体" w:cs="宋体"/>
                <w:szCs w:val="21"/>
              </w:rPr>
              <w:t xml:space="preserve">10.提供耗材管理列表：耗材名录、提供耗材型号、库存数量、消耗数量、消耗原因、耗材低库存量预警提示。（以上功能提供截图证明）  </w:t>
            </w:r>
          </w:p>
        </w:tc>
        <w:tc>
          <w:tcPr>
            <w:tcW w:w="357" w:type="pct"/>
            <w:vAlign w:val="center"/>
          </w:tcPr>
          <w:p w14:paraId="52E8E208">
            <w:pPr>
              <w:jc w:val="center"/>
              <w:rPr>
                <w:rFonts w:hint="eastAsia" w:ascii="宋体" w:hAnsi="宋体" w:cs="宋体"/>
                <w:szCs w:val="21"/>
              </w:rPr>
            </w:pPr>
            <w:r>
              <w:rPr>
                <w:rFonts w:hint="eastAsia" w:ascii="宋体" w:hAnsi="宋体" w:cs="宋体"/>
                <w:szCs w:val="21"/>
              </w:rPr>
              <w:t>4</w:t>
            </w:r>
          </w:p>
        </w:tc>
        <w:tc>
          <w:tcPr>
            <w:tcW w:w="341" w:type="pct"/>
            <w:vAlign w:val="center"/>
          </w:tcPr>
          <w:p w14:paraId="4B34326F">
            <w:pPr>
              <w:jc w:val="center"/>
              <w:rPr>
                <w:rFonts w:hint="eastAsia" w:ascii="宋体" w:hAnsi="宋体" w:cs="宋体"/>
                <w:szCs w:val="21"/>
              </w:rPr>
            </w:pPr>
            <w:r>
              <w:rPr>
                <w:rFonts w:hint="eastAsia" w:ascii="宋体" w:hAnsi="宋体" w:cs="宋体"/>
                <w:szCs w:val="21"/>
              </w:rPr>
              <w:t>套</w:t>
            </w:r>
          </w:p>
        </w:tc>
      </w:tr>
      <w:tr w14:paraId="3F8015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trHeight w:val="568" w:hRule="atLeast"/>
        </w:trPr>
        <w:tc>
          <w:tcPr>
            <w:tcW w:w="193" w:type="pct"/>
            <w:vAlign w:val="center"/>
          </w:tcPr>
          <w:p w14:paraId="38CB82C8">
            <w:pPr>
              <w:jc w:val="center"/>
              <w:rPr>
                <w:rFonts w:hint="eastAsia" w:ascii="宋体" w:hAnsi="宋体" w:cs="宋体"/>
                <w:b/>
                <w:bCs/>
                <w:szCs w:val="21"/>
              </w:rPr>
            </w:pPr>
            <w:r>
              <w:rPr>
                <w:rFonts w:hint="eastAsia" w:ascii="宋体" w:hAnsi="宋体" w:cs="宋体"/>
                <w:szCs w:val="21"/>
              </w:rPr>
              <w:t>2</w:t>
            </w:r>
          </w:p>
        </w:tc>
        <w:tc>
          <w:tcPr>
            <w:tcW w:w="536" w:type="pct"/>
            <w:vAlign w:val="center"/>
          </w:tcPr>
          <w:p w14:paraId="726514F6">
            <w:pPr>
              <w:jc w:val="center"/>
              <w:rPr>
                <w:rFonts w:hint="eastAsia" w:ascii="宋体" w:hAnsi="宋体" w:cs="宋体"/>
                <w:szCs w:val="21"/>
              </w:rPr>
            </w:pPr>
            <w:r>
              <w:rPr>
                <w:rFonts w:hint="eastAsia" w:ascii="宋体" w:hAnsi="宋体" w:cs="宋体"/>
                <w:szCs w:val="21"/>
              </w:rPr>
              <w:t>纯电动汽车检测实训一体化智能教学平台</w:t>
            </w:r>
          </w:p>
        </w:tc>
        <w:tc>
          <w:tcPr>
            <w:tcW w:w="3571" w:type="pct"/>
            <w:vAlign w:val="center"/>
          </w:tcPr>
          <w:p w14:paraId="2AE20732">
            <w:pPr>
              <w:pStyle w:val="17"/>
              <w:shd w:val="clear" w:color="auto" w:fill="FFFFFF"/>
              <w:ind w:left="105" w:leftChars="50"/>
              <w:jc w:val="both"/>
              <w:rPr>
                <w:rFonts w:hint="eastAsia" w:ascii="宋体" w:hAnsi="宋体" w:cs="宋体"/>
                <w:kern w:val="2"/>
                <w:sz w:val="21"/>
                <w:szCs w:val="21"/>
              </w:rPr>
            </w:pPr>
            <w:r>
              <w:rPr>
                <w:rFonts w:hint="eastAsia" w:ascii="宋体" w:hAnsi="宋体" w:cs="宋体"/>
                <w:sz w:val="21"/>
                <w:szCs w:val="21"/>
              </w:rPr>
              <w:t>一、产品组成要求：</w:t>
            </w:r>
            <w:r>
              <w:rPr>
                <w:rFonts w:hint="eastAsia" w:ascii="宋体" w:hAnsi="宋体" w:cs="宋体"/>
                <w:sz w:val="21"/>
                <w:szCs w:val="21"/>
              </w:rPr>
              <w:br w:type="textWrapping"/>
            </w:r>
            <w:r>
              <w:rPr>
                <w:rFonts w:hint="eastAsia" w:ascii="宋体" w:hAnsi="宋体" w:cs="宋体"/>
                <w:sz w:val="21"/>
                <w:szCs w:val="21"/>
              </w:rPr>
              <w:t>1、该设备和一辆正常运行的纯电动轿车配合使用，在不破坏原车任意一条线束的基础上将整车转变为在线检测故障教具车，可实现实时检测与诊断原车、静态信号参数。可对控制单元主要线路进行断路、短路、虚接、交叉错接等故障，具备机械故障设置，采用原车整车控制器VCU控制单元、动力电池管理系统BMS控制单元、驱动电机控制单元、高压充配电总成控制单元、自动空调管理控制单元、BCM车身控制单元等的动、静态信号参数。机械设置系统，采用镀金U型插头，设故方法可靠。单一故障点不少于 200 个；采用以铝型材角码连接立体式结构配有ABS吸塑工艺拼接而成的可移动平台，适用于中高等职业技术院校、普通教育类学院和培训机构对纯电动整车理论和维修实训的教学需要。</w:t>
            </w:r>
            <w:r>
              <w:rPr>
                <w:rFonts w:hint="eastAsia" w:ascii="宋体" w:hAnsi="宋体" w:cs="宋体"/>
                <w:sz w:val="21"/>
                <w:szCs w:val="21"/>
              </w:rPr>
              <w:br w:type="textWrapping"/>
            </w:r>
            <w:r>
              <w:rPr>
                <w:rFonts w:hint="eastAsia" w:ascii="宋体" w:hAnsi="宋体" w:cs="宋体"/>
                <w:sz w:val="21"/>
                <w:szCs w:val="21"/>
              </w:rPr>
              <w:t>二、产品规格要求：</w:t>
            </w:r>
            <w:r>
              <w:rPr>
                <w:rFonts w:hint="eastAsia" w:ascii="宋体" w:hAnsi="宋体" w:cs="宋体"/>
                <w:sz w:val="21"/>
                <w:szCs w:val="21"/>
              </w:rPr>
              <w:br w:type="textWrapping"/>
            </w:r>
            <w:r>
              <w:rPr>
                <w:rFonts w:hint="eastAsia" w:ascii="宋体" w:hAnsi="宋体" w:cs="宋体"/>
                <w:sz w:val="21"/>
                <w:szCs w:val="21"/>
              </w:rPr>
              <w:t>1、示教板长宽高：≥1600*800*1800（mm）。</w:t>
            </w:r>
            <w:r>
              <w:rPr>
                <w:rFonts w:hint="eastAsia" w:ascii="宋体" w:hAnsi="宋体" w:cs="宋体"/>
                <w:sz w:val="21"/>
                <w:szCs w:val="21"/>
              </w:rPr>
              <w:br w:type="textWrapping"/>
            </w:r>
            <w:r>
              <w:rPr>
                <w:rFonts w:hint="eastAsia" w:ascii="宋体" w:hAnsi="宋体" w:cs="宋体"/>
                <w:sz w:val="21"/>
                <w:szCs w:val="21"/>
              </w:rPr>
              <w:t>2、专用对接线束1整套。</w:t>
            </w:r>
            <w:r>
              <w:rPr>
                <w:rFonts w:hint="eastAsia" w:ascii="宋体" w:hAnsi="宋体" w:cs="宋体"/>
                <w:sz w:val="21"/>
                <w:szCs w:val="21"/>
              </w:rPr>
              <w:br w:type="textWrapping"/>
            </w:r>
            <w:r>
              <w:rPr>
                <w:rFonts w:hint="eastAsia" w:ascii="宋体" w:hAnsi="宋体" w:cs="宋体"/>
                <w:sz w:val="21"/>
                <w:szCs w:val="21"/>
              </w:rPr>
              <w:t>3、机械设故系统1套。</w:t>
            </w:r>
            <w:r>
              <w:rPr>
                <w:rFonts w:hint="eastAsia" w:ascii="宋体" w:hAnsi="宋体" w:cs="宋体"/>
                <w:sz w:val="21"/>
                <w:szCs w:val="21"/>
              </w:rPr>
              <w:br w:type="textWrapping"/>
            </w:r>
            <w:r>
              <w:rPr>
                <w:rFonts w:hint="eastAsia" w:ascii="宋体" w:hAnsi="宋体" w:cs="宋体"/>
                <w:sz w:val="21"/>
                <w:szCs w:val="21"/>
              </w:rPr>
              <w:t>4、整车控制原理图教板1件。</w:t>
            </w:r>
            <w:r>
              <w:rPr>
                <w:rFonts w:hint="eastAsia" w:ascii="宋体" w:hAnsi="宋体" w:cs="宋体"/>
                <w:sz w:val="21"/>
                <w:szCs w:val="21"/>
              </w:rPr>
              <w:br w:type="textWrapping"/>
            </w:r>
            <w:r>
              <w:rPr>
                <w:rFonts w:hint="eastAsia" w:ascii="宋体" w:hAnsi="宋体" w:cs="宋体"/>
                <w:sz w:val="21"/>
                <w:szCs w:val="21"/>
              </w:rPr>
              <w:t>三、产品功能要求：</w:t>
            </w:r>
            <w:r>
              <w:rPr>
                <w:rFonts w:hint="eastAsia" w:ascii="宋体" w:hAnsi="宋体" w:cs="宋体"/>
                <w:sz w:val="21"/>
                <w:szCs w:val="21"/>
              </w:rPr>
              <w:br w:type="textWrapping"/>
            </w:r>
            <w:r>
              <w:rPr>
                <w:rFonts w:hint="eastAsia" w:ascii="宋体" w:hAnsi="宋体" w:cs="宋体"/>
                <w:sz w:val="21"/>
                <w:szCs w:val="21"/>
              </w:rPr>
              <w:t>1.通过专用线束与整车连接，断开专用线束后整车功能完整，保持原车所有功能及线束完整性。</w:t>
            </w:r>
            <w:r>
              <w:rPr>
                <w:rFonts w:hint="eastAsia" w:ascii="宋体" w:hAnsi="宋体" w:cs="宋体"/>
                <w:sz w:val="21"/>
                <w:szCs w:val="21"/>
              </w:rPr>
              <w:br w:type="textWrapping"/>
            </w:r>
            <w:r>
              <w:rPr>
                <w:rFonts w:hint="eastAsia" w:ascii="宋体" w:hAnsi="宋体" w:cs="宋体"/>
                <w:sz w:val="21"/>
                <w:szCs w:val="21"/>
              </w:rPr>
              <w:t>2.整车结构完整，不破坏原车任意一条线束，各控制系统、传感器、执行器齐全，可正常运行。</w:t>
            </w:r>
            <w:r>
              <w:rPr>
                <w:rFonts w:hint="eastAsia" w:ascii="宋体" w:hAnsi="宋体" w:cs="宋体"/>
                <w:sz w:val="21"/>
                <w:szCs w:val="21"/>
              </w:rPr>
              <w:br w:type="textWrapping"/>
            </w:r>
            <w:r>
              <w:rPr>
                <w:rFonts w:hint="eastAsia" w:ascii="宋体" w:hAnsi="宋体" w:cs="宋体"/>
                <w:sz w:val="21"/>
                <w:szCs w:val="21"/>
              </w:rPr>
              <w:t>3.检测与设故通过专用插接器将控制信号接回原车控制单元，整车总设故点不少于200个，插头与原车线束相同，连接线选用汽车专用电线，确保整车电路信号正常；测量面板上绘制原车控制单元管脚并装有检测2mm镀金端子，直接在端子上测量模块系统实时信号，掌握不同控制单元参数变化规律。</w:t>
            </w:r>
            <w:r>
              <w:rPr>
                <w:rFonts w:hint="eastAsia" w:ascii="宋体" w:hAnsi="宋体" w:cs="宋体"/>
                <w:sz w:val="21"/>
                <w:szCs w:val="21"/>
              </w:rPr>
              <w:br w:type="textWrapping"/>
            </w:r>
            <w:r>
              <w:rPr>
                <w:rFonts w:hint="eastAsia" w:ascii="宋体" w:hAnsi="宋体" w:cs="宋体"/>
                <w:sz w:val="21"/>
                <w:szCs w:val="21"/>
              </w:rPr>
              <w:t>4.故障设置区位于检测平台后方采用隐藏推拉门故障设置机构设计，内部安装机械故障设置系统，并配2mm专用对接线做短路等故障设置，可对控制单元主要线路进行断路、短路、虚接、交叉错接等故障。</w:t>
            </w:r>
            <w:r>
              <w:rPr>
                <w:rFonts w:hint="eastAsia" w:ascii="宋体" w:hAnsi="宋体" w:cs="宋体"/>
                <w:sz w:val="21"/>
                <w:szCs w:val="21"/>
              </w:rPr>
              <w:br w:type="textWrapping"/>
            </w:r>
            <w:r>
              <w:rPr>
                <w:rFonts w:hint="eastAsia" w:ascii="宋体" w:hAnsi="宋体" w:cs="宋体"/>
                <w:sz w:val="21"/>
                <w:szCs w:val="21"/>
              </w:rPr>
              <w:t>5.整车控制器VCU控制单元教学实训系统，可对控制单元主要线路进行断路、短路、虚接、交叉错接等故障设置和诊断。</w:t>
            </w:r>
            <w:r>
              <w:rPr>
                <w:rFonts w:hint="eastAsia" w:ascii="宋体" w:hAnsi="宋体" w:cs="宋体"/>
                <w:sz w:val="21"/>
                <w:szCs w:val="21"/>
              </w:rPr>
              <w:br w:type="textWrapping"/>
            </w:r>
            <w:r>
              <w:rPr>
                <w:rFonts w:hint="eastAsia" w:ascii="宋体" w:hAnsi="宋体" w:cs="宋体"/>
                <w:sz w:val="21"/>
                <w:szCs w:val="21"/>
              </w:rPr>
              <w:t>6.动力电池管理系统BMS控制单元教学实训系统，可对控制单元主要线路进行断路、短路、虚接、交叉错接等故障设置和诊断。</w:t>
            </w:r>
            <w:r>
              <w:rPr>
                <w:rFonts w:hint="eastAsia" w:ascii="宋体" w:hAnsi="宋体" w:cs="宋体"/>
                <w:sz w:val="21"/>
                <w:szCs w:val="21"/>
              </w:rPr>
              <w:br w:type="textWrapping"/>
            </w:r>
            <w:r>
              <w:rPr>
                <w:rFonts w:hint="eastAsia" w:ascii="宋体" w:hAnsi="宋体" w:cs="宋体"/>
                <w:sz w:val="21"/>
                <w:szCs w:val="21"/>
              </w:rPr>
              <w:t>7.驱动电机控制单元教学实训系统，可对控制单元主要线路进行断路、短路、虚接、交叉错接等故障设置和诊断。</w:t>
            </w:r>
            <w:r>
              <w:rPr>
                <w:rFonts w:hint="eastAsia" w:ascii="宋体" w:hAnsi="宋体" w:cs="宋体"/>
                <w:sz w:val="21"/>
                <w:szCs w:val="21"/>
              </w:rPr>
              <w:br w:type="textWrapping"/>
            </w:r>
            <w:r>
              <w:rPr>
                <w:rFonts w:hint="eastAsia" w:ascii="宋体" w:hAnsi="宋体" w:cs="宋体"/>
                <w:sz w:val="21"/>
                <w:szCs w:val="21"/>
              </w:rPr>
              <w:t>8.高压充配电总成控制单元教学实训系统，可对控制单元主要线路进行断路、短路、虚接、交叉错接等故障设置和诊断。</w:t>
            </w:r>
            <w:r>
              <w:rPr>
                <w:rFonts w:hint="eastAsia" w:ascii="宋体" w:hAnsi="宋体" w:cs="宋体"/>
                <w:sz w:val="21"/>
                <w:szCs w:val="21"/>
              </w:rPr>
              <w:br w:type="textWrapping"/>
            </w:r>
            <w:r>
              <w:rPr>
                <w:rFonts w:hint="eastAsia" w:ascii="宋体" w:hAnsi="宋体" w:cs="宋体"/>
                <w:sz w:val="21"/>
                <w:szCs w:val="21"/>
              </w:rPr>
              <w:t>9.自动空调管理控制单元教学实训系统，可对控制单元主要线路进行断路、短路、虚接、交叉错接等故障设置和诊断。</w:t>
            </w:r>
            <w:r>
              <w:rPr>
                <w:rFonts w:hint="eastAsia" w:ascii="宋体" w:hAnsi="宋体" w:cs="宋体"/>
                <w:sz w:val="21"/>
                <w:szCs w:val="21"/>
              </w:rPr>
              <w:br w:type="textWrapping"/>
            </w:r>
            <w:r>
              <w:rPr>
                <w:rFonts w:hint="eastAsia" w:ascii="宋体" w:hAnsi="宋体" w:cs="宋体"/>
                <w:sz w:val="21"/>
                <w:szCs w:val="21"/>
              </w:rPr>
              <w:t>10.BCM车身电脑控制单元教学实训系统，可检测信号含照明系统，门锁系统，低压配电，通信和地线等，可对控制单元主要线路进行断路、短路、虚接、交叉错接等故障设置和诊断。</w:t>
            </w:r>
            <w:r>
              <w:rPr>
                <w:rFonts w:hint="eastAsia" w:ascii="宋体" w:hAnsi="宋体" w:cs="宋体"/>
                <w:sz w:val="21"/>
                <w:szCs w:val="21"/>
              </w:rPr>
              <w:br w:type="textWrapping"/>
            </w:r>
            <w:r>
              <w:rPr>
                <w:rFonts w:hint="eastAsia" w:ascii="宋体" w:hAnsi="宋体" w:cs="宋体"/>
                <w:sz w:val="21"/>
                <w:szCs w:val="21"/>
              </w:rPr>
              <w:t>11.另配电子版原车电路图及实训指导说明书，指导故障设置和排除。</w:t>
            </w:r>
            <w:r>
              <w:rPr>
                <w:rFonts w:hint="eastAsia" w:ascii="宋体" w:hAnsi="宋体" w:cs="宋体"/>
                <w:sz w:val="21"/>
                <w:szCs w:val="21"/>
              </w:rPr>
              <w:br w:type="textWrapping"/>
            </w:r>
            <w:r>
              <w:rPr>
                <w:rFonts w:hint="eastAsia" w:ascii="宋体" w:hAnsi="宋体" w:cs="宋体"/>
                <w:sz w:val="21"/>
                <w:szCs w:val="21"/>
              </w:rPr>
              <w:t>12.检测面板采用4mm厚耐腐蚀、耐创击、耐污染、防火、防潮的高级铝塑板，表面经特殊工艺喷涂底漆处理；面板打印有永不褪色的彩色控制单元插头插座端子图；并安装2mm镀金检测端子，学员可通过对照原车电路图和原车实物，测量和分析各控制系统的工作原理和信号传输过程。</w:t>
            </w:r>
            <w:r>
              <w:rPr>
                <w:rFonts w:hint="eastAsia" w:ascii="宋体" w:hAnsi="宋体" w:cs="宋体"/>
                <w:sz w:val="21"/>
                <w:szCs w:val="21"/>
              </w:rPr>
              <w:br w:type="textWrapping"/>
            </w:r>
            <w:r>
              <w:rPr>
                <w:rFonts w:hint="eastAsia" w:ascii="宋体" w:hAnsi="宋体" w:cs="宋体"/>
                <w:sz w:val="21"/>
                <w:szCs w:val="21"/>
              </w:rPr>
              <w:t>四、产品工艺要求：</w:t>
            </w:r>
            <w:r>
              <w:rPr>
                <w:rFonts w:hint="eastAsia" w:ascii="宋体" w:hAnsi="宋体" w:cs="宋体"/>
                <w:sz w:val="21"/>
                <w:szCs w:val="21"/>
              </w:rPr>
              <w:br w:type="textWrapping"/>
            </w:r>
            <w:r>
              <w:rPr>
                <w:rFonts w:hint="eastAsia" w:ascii="宋体" w:hAnsi="宋体" w:cs="宋体"/>
                <w:sz w:val="21"/>
                <w:szCs w:val="21"/>
              </w:rPr>
              <w:t>1、实训考核系统整体结构美观大方，耐油耐腐蚀，便于清洁。操作面板、立柱、底座采用模块化设计，模具一体成型高强度ABS吸塑外观，内部铝型材框架支撑坚固耐用，电子原器件接线位于立柱等封闭空间内，整机具备安全性与可靠性。整体台架采用哑光黑色3mm厚ABS吸塑包裹工艺结构美观大方、有足够的机械强度，整体宽760mm高1800mm长度可随实际使用需求调整，吸塑R角处可一保证最小厚度大于2mm。整体台架由4部分组成，包含2个侧面3mmABS吸塑罩盖、2个脚轮架罩盖3mmABS吸塑罩盖。</w:t>
            </w:r>
            <w:r>
              <w:rPr>
                <w:rFonts w:hint="eastAsia" w:ascii="宋体" w:hAnsi="宋体" w:cs="宋体"/>
                <w:sz w:val="21"/>
                <w:szCs w:val="21"/>
              </w:rPr>
              <w:br w:type="textWrapping"/>
            </w:r>
            <w:r>
              <w:rPr>
                <w:rFonts w:hint="eastAsia" w:ascii="宋体" w:hAnsi="宋体" w:cs="宋体"/>
                <w:sz w:val="21"/>
                <w:szCs w:val="21"/>
              </w:rPr>
              <w:t>2、台架侧面使用哑光黑色3mm厚ABS吸塑包裹工艺结构，长185mm宽50mm高1710mm边角R最小10mm拔模角度3°，吸塑采用三面折弯工艺，侧罩盖板上配置8个螺丝安装孔用于配合可调节折弯钢框架，侧面设有一字型流线凹槽增加机械强度，中下部设有三个渐变形式一字型凹槽安装ABS装饰条。</w:t>
            </w:r>
            <w:r>
              <w:rPr>
                <w:rFonts w:hint="eastAsia" w:ascii="宋体" w:hAnsi="宋体" w:cs="宋体"/>
                <w:sz w:val="21"/>
                <w:szCs w:val="21"/>
              </w:rPr>
              <w:br w:type="textWrapping"/>
            </w:r>
            <w:r>
              <w:rPr>
                <w:rFonts w:hint="eastAsia" w:ascii="宋体" w:hAnsi="宋体" w:cs="宋体"/>
                <w:sz w:val="21"/>
                <w:szCs w:val="21"/>
              </w:rPr>
              <w:t>3、台架可移动脚轮支架上使用哑光黑色3mm厚ABS吸塑包裹工艺结构，长185mm宽50mm高1710mm边角R最小10mm拔模角度3°，罩盖上配置4个固定安装孔用于和超强钢板的脚轮支架连接，罩盖上中间位置设有宽50mm长185mm的台架侧面ABS吸塑罩盖，两端设有8mm深一字型流线凹槽配置ABS装饰盖。</w:t>
            </w:r>
            <w:r>
              <w:rPr>
                <w:rFonts w:hint="eastAsia" w:ascii="宋体" w:hAnsi="宋体" w:cs="宋体"/>
                <w:sz w:val="21"/>
                <w:szCs w:val="21"/>
              </w:rPr>
              <w:br w:type="textWrapping"/>
            </w:r>
            <w:r>
              <w:rPr>
                <w:rFonts w:hint="eastAsia" w:ascii="宋体" w:hAnsi="宋体" w:cs="宋体"/>
                <w:sz w:val="21"/>
                <w:szCs w:val="21"/>
              </w:rPr>
              <w:t>4、检测实训控制板配备一体式工作台板采用定制优质高密度板封边加工处理，颜色呼应整体台架色调一致美观实用。</w:t>
            </w:r>
            <w:r>
              <w:rPr>
                <w:rFonts w:hint="eastAsia" w:ascii="宋体" w:hAnsi="宋体" w:cs="宋体"/>
                <w:sz w:val="21"/>
                <w:szCs w:val="21"/>
              </w:rPr>
              <w:br w:type="textWrapping"/>
            </w:r>
            <w:r>
              <w:rPr>
                <w:rFonts w:hint="eastAsia" w:ascii="宋体" w:hAnsi="宋体" w:cs="宋体"/>
                <w:sz w:val="21"/>
                <w:szCs w:val="21"/>
              </w:rPr>
              <w:t>五、教学及实习项目：</w:t>
            </w:r>
            <w:r>
              <w:rPr>
                <w:rFonts w:hint="eastAsia" w:ascii="宋体" w:hAnsi="宋体" w:cs="宋体"/>
                <w:sz w:val="21"/>
                <w:szCs w:val="21"/>
              </w:rPr>
              <w:br w:type="textWrapping"/>
            </w:r>
            <w:r>
              <w:rPr>
                <w:rFonts w:hint="eastAsia" w:ascii="宋体" w:hAnsi="宋体" w:cs="宋体"/>
                <w:sz w:val="21"/>
                <w:szCs w:val="21"/>
              </w:rPr>
              <w:t>1、了解新能源整车的基本结构和工作原理。</w:t>
            </w:r>
            <w:r>
              <w:rPr>
                <w:rFonts w:hint="eastAsia" w:ascii="宋体" w:hAnsi="宋体" w:cs="宋体"/>
                <w:sz w:val="21"/>
                <w:szCs w:val="21"/>
              </w:rPr>
              <w:br w:type="textWrapping"/>
            </w:r>
            <w:r>
              <w:rPr>
                <w:rFonts w:hint="eastAsia" w:ascii="宋体" w:hAnsi="宋体" w:cs="宋体"/>
                <w:sz w:val="21"/>
                <w:szCs w:val="21"/>
              </w:rPr>
              <w:t>2、熟悉新能源汽车的分类和技术特点。</w:t>
            </w:r>
            <w:r>
              <w:rPr>
                <w:rFonts w:hint="eastAsia" w:ascii="宋体" w:hAnsi="宋体" w:cs="宋体"/>
                <w:sz w:val="21"/>
                <w:szCs w:val="21"/>
              </w:rPr>
              <w:br w:type="textWrapping"/>
            </w:r>
            <w:r>
              <w:rPr>
                <w:rFonts w:hint="eastAsia" w:ascii="宋体" w:hAnsi="宋体" w:cs="宋体"/>
                <w:sz w:val="21"/>
                <w:szCs w:val="21"/>
              </w:rPr>
              <w:t>3、了新能源汽车高压控制系统组成与结构原理。</w:t>
            </w:r>
            <w:r>
              <w:rPr>
                <w:rFonts w:hint="eastAsia" w:ascii="宋体" w:hAnsi="宋体" w:cs="宋体"/>
                <w:sz w:val="21"/>
                <w:szCs w:val="21"/>
              </w:rPr>
              <w:br w:type="textWrapping"/>
            </w:r>
            <w:r>
              <w:rPr>
                <w:rFonts w:hint="eastAsia" w:ascii="宋体" w:hAnsi="宋体" w:cs="宋体"/>
                <w:sz w:val="21"/>
                <w:szCs w:val="21"/>
              </w:rPr>
              <w:t>4、掌握电池管理系统上下电等配电策略及诊断。</w:t>
            </w:r>
            <w:r>
              <w:rPr>
                <w:rFonts w:hint="eastAsia" w:ascii="宋体" w:hAnsi="宋体" w:cs="宋体"/>
                <w:sz w:val="21"/>
                <w:szCs w:val="21"/>
              </w:rPr>
              <w:br w:type="textWrapping"/>
            </w:r>
            <w:r>
              <w:rPr>
                <w:rFonts w:hint="eastAsia" w:ascii="宋体" w:hAnsi="宋体" w:cs="宋体"/>
                <w:sz w:val="21"/>
                <w:szCs w:val="21"/>
              </w:rPr>
              <w:t>5、纯电动汽车驱动电机控制器构造组成分析学习。</w:t>
            </w:r>
            <w:r>
              <w:rPr>
                <w:rFonts w:hint="eastAsia" w:ascii="宋体" w:hAnsi="宋体" w:cs="宋体"/>
                <w:sz w:val="21"/>
                <w:szCs w:val="21"/>
              </w:rPr>
              <w:br w:type="textWrapping"/>
            </w:r>
            <w:r>
              <w:rPr>
                <w:rFonts w:hint="eastAsia" w:ascii="宋体" w:hAnsi="宋体" w:cs="宋体"/>
                <w:sz w:val="21"/>
                <w:szCs w:val="21"/>
              </w:rPr>
              <w:t>6、新能源汽车电机、电池、控制器技术之间的控制关系。</w:t>
            </w:r>
          </w:p>
        </w:tc>
        <w:tc>
          <w:tcPr>
            <w:tcW w:w="357" w:type="pct"/>
            <w:vAlign w:val="center"/>
          </w:tcPr>
          <w:p w14:paraId="3C3ADD4F">
            <w:pPr>
              <w:jc w:val="center"/>
              <w:rPr>
                <w:rFonts w:hint="eastAsia" w:ascii="宋体" w:hAnsi="宋体" w:cs="宋体"/>
                <w:szCs w:val="21"/>
              </w:rPr>
            </w:pPr>
            <w:r>
              <w:rPr>
                <w:rFonts w:hint="eastAsia" w:ascii="宋体" w:hAnsi="宋体" w:cs="宋体"/>
                <w:szCs w:val="21"/>
              </w:rPr>
              <w:t>4</w:t>
            </w:r>
          </w:p>
        </w:tc>
        <w:tc>
          <w:tcPr>
            <w:tcW w:w="341" w:type="pct"/>
            <w:vAlign w:val="center"/>
          </w:tcPr>
          <w:p w14:paraId="3948F8DD">
            <w:pPr>
              <w:jc w:val="center"/>
              <w:rPr>
                <w:rFonts w:hint="eastAsia" w:ascii="宋体" w:hAnsi="宋体" w:cs="宋体"/>
                <w:szCs w:val="21"/>
              </w:rPr>
            </w:pPr>
            <w:r>
              <w:rPr>
                <w:rFonts w:hint="eastAsia" w:ascii="宋体" w:hAnsi="宋体" w:cs="宋体"/>
                <w:szCs w:val="21"/>
              </w:rPr>
              <w:t>套</w:t>
            </w:r>
          </w:p>
        </w:tc>
      </w:tr>
      <w:tr w14:paraId="29F0DB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trHeight w:val="548" w:hRule="atLeast"/>
        </w:trPr>
        <w:tc>
          <w:tcPr>
            <w:tcW w:w="193" w:type="pct"/>
            <w:vAlign w:val="center"/>
          </w:tcPr>
          <w:p w14:paraId="2FD7A336">
            <w:pPr>
              <w:jc w:val="center"/>
              <w:rPr>
                <w:rFonts w:hint="eastAsia" w:ascii="宋体" w:hAnsi="宋体" w:cs="宋体"/>
                <w:b/>
                <w:bCs/>
                <w:szCs w:val="21"/>
              </w:rPr>
            </w:pPr>
            <w:r>
              <w:rPr>
                <w:rFonts w:hint="eastAsia" w:ascii="宋体" w:hAnsi="宋体" w:cs="宋体"/>
                <w:szCs w:val="21"/>
              </w:rPr>
              <w:t>3</w:t>
            </w:r>
          </w:p>
        </w:tc>
        <w:tc>
          <w:tcPr>
            <w:tcW w:w="536" w:type="pct"/>
            <w:vAlign w:val="center"/>
          </w:tcPr>
          <w:p w14:paraId="7E9D1978">
            <w:pPr>
              <w:jc w:val="center"/>
              <w:rPr>
                <w:rFonts w:hint="eastAsia" w:ascii="宋体" w:hAnsi="宋体" w:cs="宋体"/>
                <w:szCs w:val="21"/>
              </w:rPr>
            </w:pPr>
            <w:r>
              <w:rPr>
                <w:rFonts w:hint="eastAsia" w:ascii="宋体" w:hAnsi="宋体" w:cs="宋体"/>
                <w:szCs w:val="21"/>
              </w:rPr>
              <w:t>豪华型改装整车教学实训系统</w:t>
            </w:r>
          </w:p>
        </w:tc>
        <w:tc>
          <w:tcPr>
            <w:tcW w:w="3571" w:type="pct"/>
            <w:vAlign w:val="center"/>
          </w:tcPr>
          <w:p w14:paraId="6BE6FC0A">
            <w:pPr>
              <w:ind w:left="105" w:leftChars="50"/>
              <w:rPr>
                <w:rFonts w:hint="eastAsia" w:ascii="宋体" w:hAnsi="宋体" w:cs="宋体"/>
                <w:szCs w:val="21"/>
              </w:rPr>
            </w:pPr>
            <w:r>
              <w:rPr>
                <w:rFonts w:hint="eastAsia" w:ascii="宋体" w:hAnsi="宋体" w:cs="宋体"/>
                <w:szCs w:val="21"/>
              </w:rPr>
              <w:t xml:space="preserve">一、实训平台功能 </w:t>
            </w:r>
            <w:r>
              <w:rPr>
                <w:rFonts w:hint="eastAsia" w:ascii="宋体" w:hAnsi="宋体" w:cs="宋体"/>
                <w:szCs w:val="21"/>
              </w:rPr>
              <w:br w:type="textWrapping"/>
            </w:r>
            <w:r>
              <w:rPr>
                <w:rFonts w:hint="eastAsia" w:ascii="宋体" w:hAnsi="宋体" w:cs="宋体"/>
                <w:szCs w:val="21"/>
              </w:rPr>
              <w:t>车辆为原厂新车，整车参数配置：</w:t>
            </w:r>
            <w:r>
              <w:rPr>
                <w:rFonts w:hint="eastAsia" w:ascii="宋体" w:hAnsi="宋体" w:cs="宋体"/>
                <w:szCs w:val="21"/>
              </w:rPr>
              <w:br w:type="textWrapping"/>
            </w:r>
            <w:r>
              <w:rPr>
                <w:rFonts w:hint="eastAsia" w:ascii="宋体" w:hAnsi="宋体" w:cs="宋体"/>
                <w:szCs w:val="21"/>
              </w:rPr>
              <w:t>发动机</w:t>
            </w:r>
            <w:r>
              <w:rPr>
                <w:rFonts w:hint="eastAsia" w:ascii="宋体" w:hAnsi="宋体" w:cs="宋体"/>
                <w:szCs w:val="21"/>
              </w:rPr>
              <w:br w:type="textWrapping"/>
            </w:r>
            <w:r>
              <w:rPr>
                <w:rFonts w:hint="eastAsia" w:ascii="宋体" w:hAnsi="宋体" w:cs="宋体"/>
                <w:szCs w:val="21"/>
              </w:rPr>
              <w:t>排量：1980（ml）-2100（ml）</w:t>
            </w:r>
            <w:r>
              <w:rPr>
                <w:rFonts w:hint="eastAsia" w:ascii="宋体" w:hAnsi="宋体" w:cs="宋体"/>
                <w:szCs w:val="21"/>
              </w:rPr>
              <w:br w:type="textWrapping"/>
            </w:r>
            <w:r>
              <w:rPr>
                <w:rFonts w:hint="eastAsia" w:ascii="宋体" w:hAnsi="宋体" w:cs="宋体"/>
                <w:szCs w:val="21"/>
              </w:rPr>
              <w:t>气缸排列形式：L</w:t>
            </w:r>
            <w:r>
              <w:rPr>
                <w:rFonts w:hint="eastAsia" w:ascii="宋体" w:hAnsi="宋体" w:cs="宋体"/>
                <w:szCs w:val="21"/>
              </w:rPr>
              <w:br w:type="textWrapping"/>
            </w:r>
            <w:r>
              <w:rPr>
                <w:rFonts w:hint="eastAsia" w:ascii="宋体" w:hAnsi="宋体" w:cs="宋体"/>
                <w:szCs w:val="21"/>
              </w:rPr>
              <w:t>最大马力：≥215 ps</w:t>
            </w:r>
            <w:r>
              <w:rPr>
                <w:rFonts w:hint="eastAsia" w:ascii="宋体" w:hAnsi="宋体" w:cs="宋体"/>
                <w:szCs w:val="21"/>
              </w:rPr>
              <w:br w:type="textWrapping"/>
            </w:r>
            <w:r>
              <w:rPr>
                <w:rFonts w:hint="eastAsia" w:ascii="宋体" w:hAnsi="宋体" w:cs="宋体"/>
                <w:szCs w:val="21"/>
              </w:rPr>
              <w:t xml:space="preserve">最大功率：≥160 KW </w:t>
            </w:r>
            <w:r>
              <w:rPr>
                <w:rFonts w:hint="eastAsia" w:ascii="宋体" w:hAnsi="宋体" w:cs="宋体"/>
                <w:szCs w:val="21"/>
              </w:rPr>
              <w:br w:type="textWrapping"/>
            </w:r>
            <w:r>
              <w:rPr>
                <w:rFonts w:hint="eastAsia" w:ascii="宋体" w:hAnsi="宋体" w:cs="宋体"/>
                <w:szCs w:val="21"/>
              </w:rPr>
              <w:t>最大功率转速：4500-6200  rpm</w:t>
            </w:r>
            <w:r>
              <w:rPr>
                <w:rFonts w:hint="eastAsia" w:ascii="宋体" w:hAnsi="宋体" w:cs="宋体"/>
                <w:szCs w:val="21"/>
              </w:rPr>
              <w:br w:type="textWrapping"/>
            </w:r>
            <w:r>
              <w:rPr>
                <w:rFonts w:hint="eastAsia" w:ascii="宋体" w:hAnsi="宋体" w:cs="宋体"/>
                <w:szCs w:val="21"/>
              </w:rPr>
              <w:t>最大扭距：≥345  N.m</w:t>
            </w:r>
            <w:r>
              <w:rPr>
                <w:rFonts w:hint="eastAsia" w:ascii="宋体" w:hAnsi="宋体" w:cs="宋体"/>
                <w:szCs w:val="21"/>
              </w:rPr>
              <w:br w:type="textWrapping"/>
            </w:r>
            <w:r>
              <w:rPr>
                <w:rFonts w:hint="eastAsia" w:ascii="宋体" w:hAnsi="宋体" w:cs="宋体"/>
                <w:szCs w:val="21"/>
              </w:rPr>
              <w:t>最大扭矩转速：1500-4400  rpm</w:t>
            </w:r>
            <w:r>
              <w:rPr>
                <w:rFonts w:hint="eastAsia" w:ascii="宋体" w:hAnsi="宋体" w:cs="宋体"/>
                <w:szCs w:val="21"/>
              </w:rPr>
              <w:br w:type="textWrapping"/>
            </w:r>
            <w:r>
              <w:rPr>
                <w:rFonts w:hint="eastAsia" w:ascii="宋体" w:hAnsi="宋体" w:cs="宋体"/>
                <w:szCs w:val="21"/>
              </w:rPr>
              <w:t>变速箱</w:t>
            </w:r>
            <w:r>
              <w:rPr>
                <w:rFonts w:hint="eastAsia" w:ascii="宋体" w:hAnsi="宋体" w:cs="宋体"/>
                <w:szCs w:val="21"/>
              </w:rPr>
              <w:br w:type="textWrapping"/>
            </w:r>
            <w:r>
              <w:rPr>
                <w:rFonts w:hint="eastAsia" w:ascii="宋体" w:hAnsi="宋体" w:cs="宋体"/>
                <w:szCs w:val="21"/>
              </w:rPr>
              <w:t>档位个数： 7-9</w:t>
            </w:r>
            <w:r>
              <w:rPr>
                <w:rFonts w:hint="eastAsia" w:ascii="宋体" w:hAnsi="宋体" w:cs="宋体"/>
                <w:szCs w:val="21"/>
              </w:rPr>
              <w:br w:type="textWrapping"/>
            </w:r>
            <w:r>
              <w:rPr>
                <w:rFonts w:hint="eastAsia" w:ascii="宋体" w:hAnsi="宋体" w:cs="宋体"/>
                <w:szCs w:val="21"/>
              </w:rPr>
              <w:t>变速箱类型：双离合变速箱（DCT）</w:t>
            </w:r>
            <w:r>
              <w:rPr>
                <w:rFonts w:hint="eastAsia" w:ascii="宋体" w:hAnsi="宋体" w:cs="宋体"/>
                <w:szCs w:val="21"/>
              </w:rPr>
              <w:br w:type="textWrapping"/>
            </w:r>
            <w:r>
              <w:rPr>
                <w:rFonts w:hint="eastAsia" w:ascii="宋体" w:hAnsi="宋体" w:cs="宋体"/>
                <w:szCs w:val="21"/>
              </w:rPr>
              <w:t>底盘转向</w:t>
            </w:r>
            <w:r>
              <w:rPr>
                <w:rFonts w:hint="eastAsia" w:ascii="宋体" w:hAnsi="宋体" w:cs="宋体"/>
                <w:szCs w:val="21"/>
              </w:rPr>
              <w:br w:type="textWrapping"/>
            </w:r>
            <w:r>
              <w:rPr>
                <w:rFonts w:hint="eastAsia" w:ascii="宋体" w:hAnsi="宋体" w:cs="宋体"/>
                <w:szCs w:val="21"/>
              </w:rPr>
              <w:t>驱动方式：前置前驱</w:t>
            </w:r>
            <w:r>
              <w:rPr>
                <w:rFonts w:hint="eastAsia" w:ascii="宋体" w:hAnsi="宋体" w:cs="宋体"/>
                <w:szCs w:val="21"/>
              </w:rPr>
              <w:br w:type="textWrapping"/>
            </w:r>
            <w:r>
              <w:rPr>
                <w:rFonts w:hint="eastAsia" w:ascii="宋体" w:hAnsi="宋体" w:cs="宋体"/>
                <w:szCs w:val="21"/>
              </w:rPr>
              <w:t>前悬架类型：麦弗逊式独立悬架</w:t>
            </w:r>
            <w:r>
              <w:rPr>
                <w:rFonts w:hint="eastAsia" w:ascii="宋体" w:hAnsi="宋体" w:cs="宋体"/>
                <w:szCs w:val="21"/>
              </w:rPr>
              <w:br w:type="textWrapping"/>
            </w:r>
            <w:r>
              <w:rPr>
                <w:rFonts w:hint="eastAsia" w:ascii="宋体" w:hAnsi="宋体" w:cs="宋体"/>
                <w:szCs w:val="21"/>
              </w:rPr>
              <w:t>后悬架类型：多连杆式独立悬架</w:t>
            </w:r>
            <w:r>
              <w:rPr>
                <w:rFonts w:hint="eastAsia" w:ascii="宋体" w:hAnsi="宋体" w:cs="宋体"/>
                <w:szCs w:val="21"/>
              </w:rPr>
              <w:br w:type="textWrapping"/>
            </w:r>
            <w:r>
              <w:rPr>
                <w:rFonts w:hint="eastAsia" w:ascii="宋体" w:hAnsi="宋体" w:cs="宋体"/>
                <w:szCs w:val="21"/>
              </w:rPr>
              <w:t>助力类型：电动助力</w:t>
            </w:r>
            <w:r>
              <w:rPr>
                <w:rFonts w:hint="eastAsia" w:ascii="宋体" w:hAnsi="宋体" w:cs="宋体"/>
                <w:szCs w:val="21"/>
              </w:rPr>
              <w:br w:type="textWrapping"/>
            </w:r>
            <w:r>
              <w:rPr>
                <w:rFonts w:hint="eastAsia" w:ascii="宋体" w:hAnsi="宋体" w:cs="宋体"/>
                <w:szCs w:val="21"/>
              </w:rPr>
              <w:t>车身</w:t>
            </w:r>
            <w:r>
              <w:rPr>
                <w:rFonts w:hint="eastAsia" w:ascii="宋体" w:hAnsi="宋体" w:cs="宋体"/>
                <w:szCs w:val="21"/>
              </w:rPr>
              <w:br w:type="textWrapping"/>
            </w:r>
            <w:r>
              <w:rPr>
                <w:rFonts w:hint="eastAsia" w:ascii="宋体" w:hAnsi="宋体" w:cs="宋体"/>
                <w:szCs w:val="21"/>
              </w:rPr>
              <w:t>长*宽*高：长（4680mm-4690mm）*宽（1830mm-1900mm）*高（1470mm-1475mm）</w:t>
            </w:r>
            <w:r>
              <w:rPr>
                <w:rFonts w:hint="eastAsia" w:ascii="宋体" w:hAnsi="宋体" w:cs="宋体"/>
                <w:szCs w:val="21"/>
              </w:rPr>
              <w:br w:type="textWrapping"/>
            </w:r>
            <w:r>
              <w:rPr>
                <w:rFonts w:hint="eastAsia" w:ascii="宋体" w:hAnsi="宋体" w:cs="宋体"/>
                <w:szCs w:val="21"/>
              </w:rPr>
              <w:t>4门5座三厢车</w:t>
            </w:r>
            <w:r>
              <w:rPr>
                <w:rFonts w:hint="eastAsia" w:ascii="宋体" w:hAnsi="宋体" w:cs="宋体"/>
                <w:szCs w:val="21"/>
              </w:rPr>
              <w:br w:type="textWrapping"/>
            </w:r>
            <w:r>
              <w:rPr>
                <w:rFonts w:hint="eastAsia" w:ascii="宋体" w:hAnsi="宋体" w:cs="宋体"/>
                <w:szCs w:val="21"/>
              </w:rPr>
              <w:t>前轮胎规格：215/55R 17</w:t>
            </w:r>
            <w:r>
              <w:rPr>
                <w:rFonts w:hint="eastAsia" w:ascii="宋体" w:hAnsi="宋体" w:cs="宋体"/>
                <w:szCs w:val="21"/>
              </w:rPr>
              <w:br w:type="textWrapping"/>
            </w:r>
            <w:r>
              <w:rPr>
                <w:rFonts w:hint="eastAsia" w:ascii="宋体" w:hAnsi="宋体" w:cs="宋体"/>
                <w:szCs w:val="21"/>
              </w:rPr>
              <w:t>后轮胎规格：215/55R 17</w:t>
            </w:r>
            <w:r>
              <w:rPr>
                <w:rFonts w:hint="eastAsia" w:ascii="宋体" w:hAnsi="宋体" w:cs="宋体"/>
                <w:szCs w:val="21"/>
              </w:rPr>
              <w:br w:type="textWrapping"/>
            </w:r>
            <w:r>
              <w:rPr>
                <w:rFonts w:hint="eastAsia" w:ascii="宋体" w:hAnsi="宋体" w:cs="宋体"/>
                <w:szCs w:val="21"/>
              </w:rPr>
              <w:t>其他配置：前盘制动器通风盘式，后制动器类型盘式，胎压报警，驻车雷达，全速自适应巡航，电动车窗，遥控钥匙等。</w:t>
            </w:r>
            <w:r>
              <w:rPr>
                <w:rFonts w:hint="eastAsia" w:ascii="宋体" w:hAnsi="宋体" w:cs="宋体"/>
                <w:szCs w:val="21"/>
              </w:rPr>
              <w:br w:type="textWrapping"/>
            </w:r>
            <w:r>
              <w:rPr>
                <w:rFonts w:hint="eastAsia" w:ascii="宋体" w:hAnsi="宋体" w:cs="宋体"/>
                <w:szCs w:val="21"/>
              </w:rPr>
              <w:t>二、整车基于课程中的案例模块对完整车辆进行学习。包括真实车辆中的保养维修流程的再次训练，满足四轮定位、保养和检修等操作，通过对整车的再次学习可以满足学生对整车进行观摩学习的机会，通过对车辆的相关内容的熟悉，再对整车上相关系统进行重复训练可以达到一汽-大众要求的技师等级要求，并且可以完成车辆上所有内容再现和学习，再现维修一线的工作场景。通过整车的学习可完善课程体系，学生能够体会整车的教学信息和保养、检修训练。并且可以用于销售、售后、技术三个专业的技术培训，通过学习可以训练相关话术和流程的训练。安全工艺标准 ，车辆各种工况正常，可以启动、行驶、各系统功能操作等；能够通过原厂诊断电脑与诊断座，读取车辆信息、编码查询、读取故障代码、数据流、执行元件测试等等测试功能。</w:t>
            </w:r>
          </w:p>
        </w:tc>
        <w:tc>
          <w:tcPr>
            <w:tcW w:w="357" w:type="pct"/>
            <w:vAlign w:val="center"/>
          </w:tcPr>
          <w:p w14:paraId="175FF7C2">
            <w:pPr>
              <w:jc w:val="center"/>
              <w:rPr>
                <w:rFonts w:hint="eastAsia" w:ascii="宋体" w:hAnsi="宋体" w:cs="宋体"/>
                <w:szCs w:val="21"/>
              </w:rPr>
            </w:pPr>
            <w:r>
              <w:rPr>
                <w:rFonts w:hint="eastAsia" w:ascii="宋体" w:hAnsi="宋体" w:cs="宋体"/>
                <w:szCs w:val="21"/>
              </w:rPr>
              <w:t>1</w:t>
            </w:r>
          </w:p>
        </w:tc>
        <w:tc>
          <w:tcPr>
            <w:tcW w:w="341" w:type="pct"/>
            <w:vAlign w:val="center"/>
          </w:tcPr>
          <w:p w14:paraId="57B08526">
            <w:pPr>
              <w:jc w:val="center"/>
              <w:rPr>
                <w:rFonts w:hint="eastAsia" w:ascii="宋体" w:hAnsi="宋体" w:cs="宋体"/>
                <w:szCs w:val="21"/>
              </w:rPr>
            </w:pPr>
            <w:r>
              <w:rPr>
                <w:rFonts w:hint="eastAsia" w:ascii="宋体" w:hAnsi="宋体" w:cs="宋体"/>
                <w:szCs w:val="21"/>
              </w:rPr>
              <w:t>套</w:t>
            </w:r>
          </w:p>
        </w:tc>
      </w:tr>
      <w:tr w14:paraId="7CA3E1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trHeight w:val="683" w:hRule="atLeast"/>
        </w:trPr>
        <w:tc>
          <w:tcPr>
            <w:tcW w:w="193" w:type="pct"/>
            <w:vAlign w:val="center"/>
          </w:tcPr>
          <w:p w14:paraId="18111A55">
            <w:pPr>
              <w:jc w:val="center"/>
              <w:rPr>
                <w:rFonts w:hint="eastAsia" w:ascii="宋体" w:hAnsi="宋体" w:cs="宋体"/>
                <w:b/>
                <w:bCs/>
                <w:szCs w:val="21"/>
              </w:rPr>
            </w:pPr>
            <w:r>
              <w:rPr>
                <w:rFonts w:hint="eastAsia" w:ascii="宋体" w:hAnsi="宋体" w:cs="宋体"/>
                <w:szCs w:val="21"/>
              </w:rPr>
              <w:t>4</w:t>
            </w:r>
          </w:p>
        </w:tc>
        <w:tc>
          <w:tcPr>
            <w:tcW w:w="536" w:type="pct"/>
            <w:vAlign w:val="center"/>
          </w:tcPr>
          <w:p w14:paraId="632BEBB8">
            <w:pPr>
              <w:jc w:val="center"/>
              <w:rPr>
                <w:rFonts w:hint="eastAsia" w:ascii="宋体" w:hAnsi="宋体" w:cs="宋体"/>
                <w:szCs w:val="21"/>
              </w:rPr>
            </w:pPr>
            <w:r>
              <w:rPr>
                <w:rFonts w:hint="eastAsia" w:ascii="宋体" w:hAnsi="宋体" w:cs="宋体"/>
                <w:szCs w:val="21"/>
              </w:rPr>
              <w:t>整车故障连接测试平台</w:t>
            </w:r>
          </w:p>
        </w:tc>
        <w:tc>
          <w:tcPr>
            <w:tcW w:w="3571" w:type="pct"/>
            <w:vAlign w:val="center"/>
          </w:tcPr>
          <w:p w14:paraId="26FEDE91">
            <w:pPr>
              <w:adjustRightInd w:val="0"/>
              <w:ind w:left="105" w:leftChars="50"/>
              <w:rPr>
                <w:rFonts w:hint="eastAsia" w:ascii="宋体" w:hAnsi="宋体" w:cs="宋体"/>
                <w:szCs w:val="21"/>
                <w:lang w:val="zh-CN"/>
              </w:rPr>
            </w:pPr>
            <w:r>
              <w:rPr>
                <w:rFonts w:hint="eastAsia" w:ascii="宋体" w:hAnsi="宋体" w:cs="宋体"/>
                <w:szCs w:val="21"/>
              </w:rPr>
              <w:t>一、设备介绍</w:t>
            </w:r>
            <w:r>
              <w:rPr>
                <w:rFonts w:hint="eastAsia" w:ascii="宋体" w:hAnsi="宋体" w:cs="宋体"/>
                <w:szCs w:val="21"/>
              </w:rPr>
              <w:br w:type="textWrapping"/>
            </w:r>
            <w:r>
              <w:rPr>
                <w:rFonts w:hint="eastAsia" w:ascii="宋体" w:hAnsi="宋体" w:cs="宋体"/>
                <w:szCs w:val="21"/>
              </w:rPr>
              <w:t>该设备配套2020款迈腾PA教学车使用，基于大众原厂最新电路开发。检测盒与车辆进行无损连接后，可对汽车发动机控制、J519模块、灯光、舒适系统、进入及启动许可系统J965、网关J533进行原车配套的检测与维修。检测盒便于教师设故和学生实时在线信号测量，可根据教学实际需求选用，满足不同的教学需求标准，最大程度支持工学结合人才培养模式的应用。对课程改革与创新也起到良好的运用功能，能进一步提升学生专业技能，促进高职院校相关专业毕业生就业，为行业、企业培养实用性紧缺人才。</w:t>
            </w:r>
            <w:r>
              <w:rPr>
                <w:rFonts w:hint="eastAsia" w:ascii="宋体" w:hAnsi="宋体" w:cs="宋体"/>
                <w:szCs w:val="21"/>
              </w:rPr>
              <w:br w:type="textWrapping"/>
            </w:r>
            <w:r>
              <w:rPr>
                <w:rFonts w:hint="eastAsia" w:ascii="宋体" w:hAnsi="宋体" w:cs="宋体"/>
                <w:szCs w:val="21"/>
              </w:rPr>
              <w:t>二、设备功能</w:t>
            </w:r>
            <w:r>
              <w:rPr>
                <w:rFonts w:hint="eastAsia" w:ascii="宋体" w:hAnsi="宋体" w:cs="宋体"/>
                <w:szCs w:val="21"/>
              </w:rPr>
              <w:br w:type="textWrapping"/>
            </w:r>
            <w:r>
              <w:rPr>
                <w:rFonts w:hint="eastAsia" w:ascii="宋体" w:hAnsi="宋体" w:cs="宋体"/>
                <w:szCs w:val="21"/>
              </w:rPr>
              <w:t>1.整车故障连接检测盒以整车为基础，在不破坏原车电路情况下，可以轻松的串联在控制模块和原车线束之间。整车各控制系统、传感器、执行器功能齐全，可正常运行。</w:t>
            </w:r>
            <w:r>
              <w:rPr>
                <w:rFonts w:hint="eastAsia" w:ascii="宋体" w:hAnsi="宋体" w:cs="宋体"/>
                <w:szCs w:val="21"/>
              </w:rPr>
              <w:br w:type="textWrapping"/>
            </w:r>
            <w:r>
              <w:rPr>
                <w:rFonts w:hint="eastAsia" w:ascii="宋体" w:hAnsi="宋体" w:cs="宋体"/>
                <w:szCs w:val="21"/>
              </w:rPr>
              <w:t>2.检测盒一盒多用，既可以作为教师故障考核设置终端，也可以作为学生信号测量终端。支持发动机控制单元J623部分、车载电网控制单元J519部分（含内外部灯光、喇叭、雨刮清洗系统）、左前车门控制单元J386部分（含玻璃升降、门锁、后视镜、喇叭等）、右前车门控制单元J387部分、进入及启动许可系统控制单元J965部分、网关J533部分的信号测量与故障设置。</w:t>
            </w:r>
            <w:r>
              <w:rPr>
                <w:rFonts w:hint="eastAsia" w:ascii="宋体" w:hAnsi="宋体" w:cs="宋体"/>
                <w:szCs w:val="21"/>
              </w:rPr>
              <w:br w:type="textWrapping"/>
            </w:r>
            <w:r>
              <w:rPr>
                <w:rFonts w:hint="eastAsia" w:ascii="宋体" w:hAnsi="宋体" w:cs="宋体"/>
                <w:szCs w:val="21"/>
              </w:rPr>
              <w:t>3.通过与原车插头配套的线束插接器连接检测盒，可实现整车教学、实训考核的训练要求。</w:t>
            </w:r>
            <w:r>
              <w:rPr>
                <w:rFonts w:hint="eastAsia" w:ascii="宋体" w:hAnsi="宋体" w:cs="宋体"/>
                <w:szCs w:val="21"/>
              </w:rPr>
              <w:br w:type="textWrapping"/>
            </w:r>
            <w:r>
              <w:rPr>
                <w:rFonts w:hint="eastAsia" w:ascii="宋体" w:hAnsi="宋体" w:cs="宋体"/>
                <w:szCs w:val="21"/>
              </w:rPr>
              <w:t>4.检测盒背面部分为机械故障设置终端，采用隐藏式机械故障设置系统，通过U型连接端子可设置断路、短路、偶发、接触不良、CAN线反接故障。能有效的模拟系统发生故障时的各种现象，提高学员的故障判断能力，有效的保护设备的使用效率。</w:t>
            </w:r>
            <w:r>
              <w:rPr>
                <w:rFonts w:hint="eastAsia" w:ascii="宋体" w:hAnsi="宋体" w:cs="宋体"/>
                <w:szCs w:val="21"/>
              </w:rPr>
              <w:br w:type="textWrapping"/>
            </w:r>
            <w:r>
              <w:rPr>
                <w:rFonts w:hint="eastAsia" w:ascii="宋体" w:hAnsi="宋体" w:cs="宋体"/>
                <w:szCs w:val="21"/>
              </w:rPr>
              <w:t>5.检测盒前面部分为学生测量部分，可直接用万用表、示波器在面板上实时测量电压、电流、电阻、频率、波形信号等。</w:t>
            </w:r>
            <w:r>
              <w:rPr>
                <w:rFonts w:hint="eastAsia" w:ascii="宋体" w:hAnsi="宋体" w:cs="宋体"/>
                <w:szCs w:val="21"/>
              </w:rPr>
              <w:br w:type="textWrapping"/>
            </w:r>
            <w:r>
              <w:rPr>
                <w:rFonts w:hint="eastAsia" w:ascii="宋体" w:hAnsi="宋体" w:cs="宋体"/>
                <w:szCs w:val="21"/>
              </w:rPr>
              <w:t>6.检测盒单针脚采用双测量点设计方式，可有效帮助学生在故障诊断过程中，判断元件端故障或是控制单元端故障。</w:t>
            </w:r>
            <w:r>
              <w:rPr>
                <w:rFonts w:hint="eastAsia" w:ascii="宋体" w:hAnsi="宋体" w:cs="宋体"/>
                <w:szCs w:val="21"/>
              </w:rPr>
              <w:br w:type="textWrapping"/>
            </w:r>
            <w:r>
              <w:rPr>
                <w:rFonts w:hint="eastAsia" w:ascii="宋体" w:hAnsi="宋体" w:cs="宋体"/>
                <w:szCs w:val="21"/>
              </w:rPr>
              <w:t>7.检测盒采用航空插头设计，可无损与车辆快速进行连接。还可通过更换配套线束和检测面板,可实现整车不同部位，不同模块的故障设置、检测、排除功能。避免了重复测量导致的线路损耗，检测端子与相关检测仪表、接线盒端子完全配套。</w:t>
            </w:r>
            <w:r>
              <w:rPr>
                <w:rFonts w:hint="eastAsia" w:ascii="宋体" w:hAnsi="宋体" w:cs="宋体"/>
                <w:szCs w:val="21"/>
              </w:rPr>
              <w:br w:type="textWrapping"/>
            </w:r>
            <w:r>
              <w:rPr>
                <w:rFonts w:hint="eastAsia" w:ascii="宋体" w:hAnsi="宋体" w:cs="宋体"/>
                <w:szCs w:val="21"/>
              </w:rPr>
              <w:t>8.检测盒采用4mm厚耐腐蚀、耐创击、耐污染、防火、防潮的高级铝塑板为基底，上面安装喷绘有不同控制单元端子针脚的彩色亚克力板，方便学生进行对照测量及测量模块更换。</w:t>
            </w:r>
            <w:r>
              <w:rPr>
                <w:rFonts w:hint="eastAsia" w:ascii="宋体" w:hAnsi="宋体" w:cs="宋体"/>
                <w:szCs w:val="21"/>
              </w:rPr>
              <w:br w:type="textWrapping"/>
            </w:r>
            <w:r>
              <w:rPr>
                <w:rFonts w:hint="eastAsia" w:ascii="宋体" w:hAnsi="宋体" w:cs="宋体"/>
                <w:szCs w:val="21"/>
              </w:rPr>
              <w:t>9.检测盒框架采用40mm×40mm一体化全铝合金型材搭建，耐油耐腐蚀并易于清洁。检测盒安装在工具车上，可随工具车移动灵活，安全可靠、坚固耐用。</w:t>
            </w:r>
          </w:p>
        </w:tc>
        <w:tc>
          <w:tcPr>
            <w:tcW w:w="357" w:type="pct"/>
            <w:vAlign w:val="center"/>
          </w:tcPr>
          <w:p w14:paraId="1AAD29A9">
            <w:pPr>
              <w:jc w:val="center"/>
              <w:rPr>
                <w:rFonts w:hint="eastAsia" w:ascii="宋体" w:hAnsi="宋体" w:cs="宋体"/>
                <w:szCs w:val="21"/>
              </w:rPr>
            </w:pPr>
            <w:r>
              <w:rPr>
                <w:rFonts w:hint="eastAsia" w:ascii="宋体" w:hAnsi="宋体" w:cs="宋体"/>
                <w:szCs w:val="21"/>
              </w:rPr>
              <w:t>1</w:t>
            </w:r>
          </w:p>
        </w:tc>
        <w:tc>
          <w:tcPr>
            <w:tcW w:w="341" w:type="pct"/>
            <w:vAlign w:val="center"/>
          </w:tcPr>
          <w:p w14:paraId="0023E8BA">
            <w:pPr>
              <w:jc w:val="center"/>
              <w:rPr>
                <w:rFonts w:hint="eastAsia" w:ascii="宋体" w:hAnsi="宋体" w:cs="宋体"/>
                <w:szCs w:val="21"/>
              </w:rPr>
            </w:pPr>
            <w:r>
              <w:rPr>
                <w:rFonts w:hint="eastAsia" w:ascii="宋体" w:hAnsi="宋体" w:cs="宋体"/>
                <w:szCs w:val="21"/>
              </w:rPr>
              <w:t>套</w:t>
            </w:r>
          </w:p>
        </w:tc>
      </w:tr>
      <w:tr w14:paraId="47DF37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trHeight w:val="707" w:hRule="atLeast"/>
        </w:trPr>
        <w:tc>
          <w:tcPr>
            <w:tcW w:w="193" w:type="pct"/>
            <w:vAlign w:val="center"/>
          </w:tcPr>
          <w:p w14:paraId="3600028F">
            <w:pPr>
              <w:jc w:val="center"/>
              <w:rPr>
                <w:rFonts w:hint="eastAsia" w:ascii="宋体" w:hAnsi="宋体" w:cs="宋体"/>
                <w:b/>
                <w:bCs/>
                <w:szCs w:val="21"/>
              </w:rPr>
            </w:pPr>
            <w:r>
              <w:rPr>
                <w:rFonts w:hint="eastAsia" w:ascii="宋体" w:hAnsi="宋体" w:cs="宋体"/>
                <w:szCs w:val="21"/>
              </w:rPr>
              <w:t>5</w:t>
            </w:r>
          </w:p>
        </w:tc>
        <w:tc>
          <w:tcPr>
            <w:tcW w:w="536" w:type="pct"/>
            <w:vAlign w:val="center"/>
          </w:tcPr>
          <w:p w14:paraId="396EF4E7">
            <w:pPr>
              <w:jc w:val="center"/>
              <w:rPr>
                <w:rFonts w:hint="eastAsia" w:ascii="宋体" w:hAnsi="宋体" w:cs="宋体"/>
                <w:szCs w:val="21"/>
              </w:rPr>
            </w:pPr>
            <w:r>
              <w:rPr>
                <w:rFonts w:hint="eastAsia" w:ascii="宋体" w:hAnsi="宋体" w:cs="宋体"/>
                <w:szCs w:val="21"/>
              </w:rPr>
              <w:t>新能源汽车全车实训系统</w:t>
            </w:r>
          </w:p>
        </w:tc>
        <w:tc>
          <w:tcPr>
            <w:tcW w:w="3571" w:type="pct"/>
            <w:vAlign w:val="center"/>
          </w:tcPr>
          <w:p w14:paraId="70B60A4C">
            <w:pPr>
              <w:adjustRightInd w:val="0"/>
              <w:snapToGrid w:val="0"/>
              <w:ind w:left="105"/>
              <w:rPr>
                <w:rFonts w:hint="eastAsia" w:ascii="宋体" w:hAnsi="宋体" w:cs="宋体"/>
                <w:szCs w:val="21"/>
              </w:rPr>
            </w:pPr>
            <w:r>
              <w:rPr>
                <w:rFonts w:hint="eastAsia" w:ascii="宋体" w:hAnsi="宋体" w:cs="宋体"/>
                <w:szCs w:val="21"/>
              </w:rPr>
              <w:t>一、整车配置要求：</w:t>
            </w:r>
            <w:r>
              <w:rPr>
                <w:rFonts w:hint="eastAsia" w:ascii="宋体" w:hAnsi="宋体" w:cs="宋体"/>
                <w:szCs w:val="21"/>
              </w:rPr>
              <w:br w:type="textWrapping"/>
            </w:r>
            <w:r>
              <w:rPr>
                <w:rFonts w:hint="eastAsia" w:ascii="宋体" w:hAnsi="宋体" w:cs="宋体"/>
                <w:szCs w:val="21"/>
              </w:rPr>
              <w:t>（1）能源类型：纯电动；工况续航里程： 415km- 430km；电机类型：永磁同步电机；最大功率：100 kw-110 kw；电池容量：53kWh-55kWh。</w:t>
            </w:r>
            <w:r>
              <w:rPr>
                <w:rFonts w:hint="eastAsia" w:ascii="宋体" w:hAnsi="宋体" w:cs="宋体"/>
                <w:szCs w:val="21"/>
              </w:rPr>
              <w:br w:type="textWrapping"/>
            </w:r>
            <w:r>
              <w:rPr>
                <w:rFonts w:hint="eastAsia" w:ascii="宋体" w:hAnsi="宋体" w:cs="宋体"/>
                <w:szCs w:val="21"/>
              </w:rPr>
              <w:t>（2） 具备高压配电保护、继电器状态检测保护、预充电检测和主动放电安全管理、绝缘检测安全管理、碰撞安全管理、物理隔离保护、互锁检测等保护策略。</w:t>
            </w:r>
            <w:r>
              <w:rPr>
                <w:rFonts w:hint="eastAsia" w:ascii="宋体" w:hAnsi="宋体" w:cs="宋体"/>
                <w:szCs w:val="21"/>
              </w:rPr>
              <w:br w:type="textWrapping"/>
            </w:r>
            <w:r>
              <w:rPr>
                <w:rFonts w:hint="eastAsia" w:ascii="宋体" w:hAnsi="宋体" w:cs="宋体"/>
                <w:szCs w:val="21"/>
              </w:rPr>
              <w:t>（3） 安全配置：主驾驶座安全气囊、副驾驶座安全气囊、胎压报警、前排安全带未系提醒、儿童座椅接口、ABS 防抱死、制动力分配、刹车辅助、牵引力控制、车身稳定控制。</w:t>
            </w:r>
            <w:r>
              <w:rPr>
                <w:rFonts w:hint="eastAsia" w:ascii="宋体" w:hAnsi="宋体" w:cs="宋体"/>
                <w:szCs w:val="21"/>
              </w:rPr>
              <w:br w:type="textWrapping"/>
            </w:r>
            <w:r>
              <w:rPr>
                <w:rFonts w:hint="eastAsia" w:ascii="宋体" w:hAnsi="宋体" w:cs="宋体"/>
                <w:szCs w:val="21"/>
              </w:rPr>
              <w:t>（4） 车辆配备原厂电池管理系统、整车控制器、电机控制器、车载充电机等系统低压线束连接器及适配线束，可实现车辆被测系统与整车故障设置平台和故障检测盒的快速连接。</w:t>
            </w:r>
          </w:p>
        </w:tc>
        <w:tc>
          <w:tcPr>
            <w:tcW w:w="357" w:type="pct"/>
            <w:vAlign w:val="center"/>
          </w:tcPr>
          <w:p w14:paraId="12B5F149">
            <w:pPr>
              <w:jc w:val="center"/>
              <w:rPr>
                <w:rFonts w:hint="eastAsia" w:ascii="宋体" w:hAnsi="宋体" w:cs="宋体"/>
                <w:szCs w:val="21"/>
                <w:lang w:val="zh-CN"/>
              </w:rPr>
            </w:pPr>
            <w:r>
              <w:rPr>
                <w:rFonts w:hint="eastAsia" w:ascii="宋体" w:hAnsi="宋体" w:cs="宋体"/>
                <w:szCs w:val="21"/>
              </w:rPr>
              <w:t>1</w:t>
            </w:r>
          </w:p>
        </w:tc>
        <w:tc>
          <w:tcPr>
            <w:tcW w:w="341" w:type="pct"/>
            <w:vAlign w:val="center"/>
          </w:tcPr>
          <w:p w14:paraId="68F631BE">
            <w:pPr>
              <w:jc w:val="center"/>
              <w:rPr>
                <w:rFonts w:hint="eastAsia" w:ascii="宋体" w:hAnsi="宋体" w:cs="宋体"/>
                <w:szCs w:val="21"/>
              </w:rPr>
            </w:pPr>
            <w:r>
              <w:rPr>
                <w:rFonts w:hint="eastAsia" w:ascii="宋体" w:hAnsi="宋体" w:cs="宋体"/>
                <w:szCs w:val="21"/>
              </w:rPr>
              <w:t>套</w:t>
            </w:r>
          </w:p>
        </w:tc>
      </w:tr>
      <w:tr w14:paraId="345DA4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trHeight w:val="552" w:hRule="atLeast"/>
        </w:trPr>
        <w:tc>
          <w:tcPr>
            <w:tcW w:w="193" w:type="pct"/>
            <w:vAlign w:val="center"/>
          </w:tcPr>
          <w:p w14:paraId="594E6AFE">
            <w:pPr>
              <w:jc w:val="center"/>
              <w:rPr>
                <w:rFonts w:hint="eastAsia" w:ascii="宋体" w:hAnsi="宋体" w:cs="宋体"/>
                <w:b/>
                <w:bCs/>
                <w:szCs w:val="21"/>
              </w:rPr>
            </w:pPr>
            <w:r>
              <w:rPr>
                <w:rFonts w:hint="eastAsia" w:ascii="宋体" w:hAnsi="宋体" w:cs="宋体"/>
                <w:szCs w:val="21"/>
              </w:rPr>
              <w:t>6</w:t>
            </w:r>
          </w:p>
        </w:tc>
        <w:tc>
          <w:tcPr>
            <w:tcW w:w="536" w:type="pct"/>
            <w:vAlign w:val="center"/>
          </w:tcPr>
          <w:p w14:paraId="306B8A9C">
            <w:pPr>
              <w:widowControl/>
              <w:jc w:val="center"/>
              <w:rPr>
                <w:rFonts w:hint="eastAsia" w:ascii="宋体" w:hAnsi="宋体" w:cs="宋体"/>
                <w:color w:val="000000"/>
                <w:kern w:val="0"/>
                <w:szCs w:val="21"/>
                <w:lang w:bidi="ar"/>
              </w:rPr>
            </w:pPr>
            <w:r>
              <w:rPr>
                <w:rFonts w:hint="eastAsia" w:ascii="宋体" w:hAnsi="宋体" w:cs="宋体"/>
                <w:szCs w:val="21"/>
              </w:rPr>
              <w:t>整车故障设置与检测连接平台</w:t>
            </w:r>
          </w:p>
        </w:tc>
        <w:tc>
          <w:tcPr>
            <w:tcW w:w="3571" w:type="pct"/>
            <w:vAlign w:val="center"/>
          </w:tcPr>
          <w:p w14:paraId="28B15193">
            <w:pPr>
              <w:adjustRightInd w:val="0"/>
              <w:snapToGrid w:val="0"/>
              <w:ind w:left="105" w:leftChars="50"/>
              <w:rPr>
                <w:rFonts w:hint="eastAsia" w:ascii="宋体" w:hAnsi="宋体" w:cs="宋体"/>
                <w:szCs w:val="21"/>
                <w:lang w:val="zh-CN"/>
              </w:rPr>
            </w:pPr>
            <w:r>
              <w:rPr>
                <w:rFonts w:hint="eastAsia" w:ascii="宋体" w:hAnsi="宋体" w:cs="宋体"/>
                <w:szCs w:val="21"/>
              </w:rPr>
              <w:t>一、该设备和一辆正常运行的纯电动轿车配合使用，在不破坏原车任意一条线束的基础上将整车转变为在线检测故障教具车，可实现实时检测与诊断原车、静态信号参数。可对控制单元主要线路进行断路、短路、虚接、交叉错接等故障，具备机械故障设置，采用原车整车控制器VCU控制单元、动力电池管理系统BMS控制单元、驱动电机控制单元、高压充配电总成控制单元、自动空调管理控制单元、EPS控制单元、EPB控制单元、智能钥匙控制单元、直流充电口、交流充电口、BCM车身电脑控制单元等的动、静态信号参数。机械设置系统，采用镀金U型插头，设故方法可靠，及具备无线故障设置功能。单一故障点不少于 300 个；采用铝型材台架拼接而成的可移动平台，参照国赛赛项技术要求设计；适用于中高等职业技术院校、普通教育类学院和培训机构对纯电动整车理论和维修实训的教学需要。</w:t>
            </w:r>
            <w:r>
              <w:rPr>
                <w:rFonts w:hint="eastAsia" w:ascii="宋体" w:hAnsi="宋体" w:cs="宋体"/>
                <w:szCs w:val="21"/>
              </w:rPr>
              <w:br w:type="textWrapping"/>
            </w:r>
            <w:r>
              <w:rPr>
                <w:rFonts w:hint="eastAsia" w:ascii="宋体" w:hAnsi="宋体" w:cs="宋体"/>
                <w:szCs w:val="21"/>
              </w:rPr>
              <w:t>二、功能特点</w:t>
            </w:r>
            <w:r>
              <w:rPr>
                <w:rFonts w:hint="eastAsia" w:ascii="宋体" w:hAnsi="宋体" w:cs="宋体"/>
                <w:szCs w:val="21"/>
              </w:rPr>
              <w:br w:type="textWrapping"/>
            </w:r>
            <w:r>
              <w:rPr>
                <w:rFonts w:hint="eastAsia" w:ascii="宋体" w:hAnsi="宋体" w:cs="宋体"/>
                <w:szCs w:val="21"/>
              </w:rPr>
              <w:t>1.通过专用线束与整车连接，断开专用线束后整车功能完整，保持原车所有功能及线束完整性；</w:t>
            </w:r>
            <w:r>
              <w:rPr>
                <w:rFonts w:hint="eastAsia" w:ascii="宋体" w:hAnsi="宋体" w:cs="宋体"/>
                <w:szCs w:val="21"/>
              </w:rPr>
              <w:br w:type="textWrapping"/>
            </w:r>
            <w:r>
              <w:rPr>
                <w:rFonts w:hint="eastAsia" w:ascii="宋体" w:hAnsi="宋体" w:cs="宋体"/>
                <w:szCs w:val="21"/>
              </w:rPr>
              <w:t>2.整车结构完整，不破坏原车任意一条线束，各控制系统、传感器、执行器齐全，可正常运行；</w:t>
            </w:r>
            <w:r>
              <w:rPr>
                <w:rFonts w:hint="eastAsia" w:ascii="宋体" w:hAnsi="宋体" w:cs="宋体"/>
                <w:szCs w:val="21"/>
              </w:rPr>
              <w:br w:type="textWrapping"/>
            </w:r>
            <w:r>
              <w:rPr>
                <w:rFonts w:hint="eastAsia" w:ascii="宋体" w:hAnsi="宋体" w:cs="宋体"/>
                <w:szCs w:val="21"/>
              </w:rPr>
              <w:t>3.检测与设故通过专用插接器将控制信号接回原车控制单元，整车总设故点不少于280个，插头与原车线束相同，连接线选用国标铁氟龙汽车专用电线，耐压不低于600V，确保整车电路信号正常；测量面板上绘制原车控制单元管脚并装有检测2mm镀金端子，直接在端子上测量模块系统实时信号，掌握不同控制单元参数变化规律；</w:t>
            </w:r>
            <w:r>
              <w:rPr>
                <w:rFonts w:hint="eastAsia" w:ascii="宋体" w:hAnsi="宋体" w:cs="宋体"/>
                <w:szCs w:val="21"/>
              </w:rPr>
              <w:br w:type="textWrapping"/>
            </w:r>
            <w:r>
              <w:rPr>
                <w:rFonts w:hint="eastAsia" w:ascii="宋体" w:hAnsi="宋体" w:cs="宋体"/>
                <w:szCs w:val="21"/>
              </w:rPr>
              <w:t>4.智能故障设置考核平台配备多功能一体机，可用于无线故障设置、电子版维修资料及电路图查阅、教学资源包、联网查阅资料等；</w:t>
            </w:r>
            <w:r>
              <w:rPr>
                <w:rFonts w:hint="eastAsia" w:ascii="宋体" w:hAnsi="宋体" w:cs="宋体"/>
                <w:szCs w:val="21"/>
              </w:rPr>
              <w:br w:type="textWrapping"/>
            </w:r>
            <w:r>
              <w:rPr>
                <w:rFonts w:hint="eastAsia" w:ascii="宋体" w:hAnsi="宋体" w:cs="宋体"/>
                <w:szCs w:val="21"/>
              </w:rPr>
              <w:t>5.故障设置区位于平台后下方采用隐藏推拉门故障设置机构设计，内部安装机械与无线故障设置系统，并配2mm专用对接线做短路等故障设置，可对控制单元主要线路进行断路、短路、虚接、交叉错接等故障；</w:t>
            </w:r>
            <w:r>
              <w:rPr>
                <w:rFonts w:hint="eastAsia" w:ascii="宋体" w:hAnsi="宋体" w:cs="宋体"/>
                <w:szCs w:val="21"/>
              </w:rPr>
              <w:br w:type="textWrapping"/>
            </w:r>
            <w:r>
              <w:rPr>
                <w:rFonts w:hint="eastAsia" w:ascii="宋体" w:hAnsi="宋体" w:cs="宋体"/>
                <w:szCs w:val="21"/>
              </w:rPr>
              <w:t>6.整车控制器VCU控制单元教学实训系统，可检测信号含油门踏板，刹车踏板，真空压力传感器，刹车真空助力泵，高压水泵，风扇信号等，可对控制单元主要线路进行断路、短路、虚接、交叉错接等故障设置和诊断；</w:t>
            </w:r>
            <w:r>
              <w:rPr>
                <w:rFonts w:hint="eastAsia" w:ascii="宋体" w:hAnsi="宋体" w:cs="宋体"/>
                <w:szCs w:val="21"/>
              </w:rPr>
              <w:br w:type="textWrapping"/>
            </w:r>
            <w:r>
              <w:rPr>
                <w:rFonts w:hint="eastAsia" w:ascii="宋体" w:hAnsi="宋体" w:cs="宋体"/>
                <w:szCs w:val="21"/>
              </w:rPr>
              <w:t>7.动力电池管理系统BMS控制单元教学实训系统，可检测信号含直流充电，交流充电，动力电池包低压线束信号等，可对控制单元主要线路进行断路、短路、虚接、交叉错接等故障设置和诊断；</w:t>
            </w:r>
            <w:r>
              <w:rPr>
                <w:rFonts w:hint="eastAsia" w:ascii="宋体" w:hAnsi="宋体" w:cs="宋体"/>
                <w:szCs w:val="21"/>
              </w:rPr>
              <w:br w:type="textWrapping"/>
            </w:r>
            <w:r>
              <w:rPr>
                <w:rFonts w:hint="eastAsia" w:ascii="宋体" w:hAnsi="宋体" w:cs="宋体"/>
                <w:szCs w:val="21"/>
              </w:rPr>
              <w:t>8.驱动电机控制单元教学实训系统，可检测信号含电机控制器通信，工作电源和地线等，可对控制单元主要线路进行断路、短路、虚接、交叉错接等故障设置和诊断；</w:t>
            </w:r>
            <w:r>
              <w:rPr>
                <w:rFonts w:hint="eastAsia" w:ascii="宋体" w:hAnsi="宋体" w:cs="宋体"/>
                <w:szCs w:val="21"/>
              </w:rPr>
              <w:br w:type="textWrapping"/>
            </w:r>
            <w:r>
              <w:rPr>
                <w:rFonts w:hint="eastAsia" w:ascii="宋体" w:hAnsi="宋体" w:cs="宋体"/>
                <w:szCs w:val="21"/>
              </w:rPr>
              <w:t>9.高压充配电总成控制单元教学实训系统，可检测信号含充配电总成通信，交流充电口，工作电源和地线等，可对控制单元主要线路进行断路、短路、虚接、交叉错接等故障设置和诊断；</w:t>
            </w:r>
            <w:r>
              <w:rPr>
                <w:rFonts w:hint="eastAsia" w:ascii="宋体" w:hAnsi="宋体" w:cs="宋体"/>
                <w:szCs w:val="21"/>
              </w:rPr>
              <w:br w:type="textWrapping"/>
            </w:r>
            <w:r>
              <w:rPr>
                <w:rFonts w:hint="eastAsia" w:ascii="宋体" w:hAnsi="宋体" w:cs="宋体"/>
                <w:szCs w:val="21"/>
              </w:rPr>
              <w:t>10.自动空调管理控制单元教学实训系统，可检测信号含冷暖循环电机，内外循环电机，出风口模式循环电机，压力传感器，主驾吹脚通道传感器，主驾吹面通道传感器，电子膨胀阀（空调），压力温度传感器（空调），阳光强度传感器，蒸发器温度传感器，室外温度传感器，室内温度传感器，电子膨胀阀（电池热管理），水温传感器，四通水阀等，可对控制单元主要线路进行断路、短路、虚接、交叉错接等故障设置和诊断；</w:t>
            </w:r>
            <w:r>
              <w:rPr>
                <w:rFonts w:hint="eastAsia" w:ascii="宋体" w:hAnsi="宋体" w:cs="宋体"/>
                <w:szCs w:val="21"/>
              </w:rPr>
              <w:br w:type="textWrapping"/>
            </w:r>
            <w:r>
              <w:rPr>
                <w:rFonts w:hint="eastAsia" w:ascii="宋体" w:hAnsi="宋体" w:cs="宋体"/>
                <w:szCs w:val="21"/>
              </w:rPr>
              <w:t>11.EPS控制单元教学实训系统，可检测信号含EPS通信信号，工作电源和地线等，可对控制单元主要线路进行断路、短路、虚接、交叉错接等故障设置和诊断；</w:t>
            </w:r>
            <w:r>
              <w:rPr>
                <w:rFonts w:hint="eastAsia" w:ascii="宋体" w:hAnsi="宋体" w:cs="宋体"/>
                <w:szCs w:val="21"/>
              </w:rPr>
              <w:br w:type="textWrapping"/>
            </w:r>
            <w:r>
              <w:rPr>
                <w:rFonts w:hint="eastAsia" w:ascii="宋体" w:hAnsi="宋体" w:cs="宋体"/>
                <w:szCs w:val="21"/>
              </w:rPr>
              <w:t>12.EPB控制单元教学实训系统，可检测信号含EPB开关，EPB电机，EPB模块通信，工作电源和地线等，可对控制单元主要线路进行断路、短路、虚接、交叉错接等故障设置和诊断；</w:t>
            </w:r>
            <w:r>
              <w:rPr>
                <w:rFonts w:hint="eastAsia" w:ascii="宋体" w:hAnsi="宋体" w:cs="宋体"/>
                <w:szCs w:val="21"/>
              </w:rPr>
              <w:br w:type="textWrapping"/>
            </w:r>
            <w:r>
              <w:rPr>
                <w:rFonts w:hint="eastAsia" w:ascii="宋体" w:hAnsi="宋体" w:cs="宋体"/>
                <w:szCs w:val="21"/>
              </w:rPr>
              <w:t>13.智能钥匙控制单元教学实训系统，可检测信号含车外探测天线，车内探测天线，微动开关，工作电源和地线等，可对控制单元主要线路进行断路、短路、虚接、交叉错接等故障设置和诊断；</w:t>
            </w:r>
            <w:r>
              <w:rPr>
                <w:rFonts w:hint="eastAsia" w:ascii="宋体" w:hAnsi="宋体" w:cs="宋体"/>
                <w:szCs w:val="21"/>
              </w:rPr>
              <w:br w:type="textWrapping"/>
            </w:r>
            <w:r>
              <w:rPr>
                <w:rFonts w:hint="eastAsia" w:ascii="宋体" w:hAnsi="宋体" w:cs="宋体"/>
                <w:szCs w:val="21"/>
              </w:rPr>
              <w:t>14.直流充电口单元教学实训系统，可检测信号含充电子网信号，直流充电感应信号，</w:t>
            </w:r>
            <w:r>
              <w:rPr>
                <w:rFonts w:hint="eastAsia" w:ascii="宋体" w:hAnsi="宋体" w:cs="宋体"/>
                <w:szCs w:val="21"/>
              </w:rPr>
              <w:br w:type="textWrapping"/>
            </w:r>
            <w:r>
              <w:rPr>
                <w:rFonts w:hint="eastAsia" w:ascii="宋体" w:hAnsi="宋体" w:cs="宋体"/>
                <w:szCs w:val="21"/>
              </w:rPr>
              <w:t>直流充电口温度信号，低压辅助电源信号等，可对直流充电口单元主要线路进行断</w:t>
            </w:r>
            <w:r>
              <w:rPr>
                <w:rFonts w:hint="eastAsia" w:ascii="宋体" w:hAnsi="宋体" w:cs="宋体"/>
                <w:szCs w:val="21"/>
              </w:rPr>
              <w:br w:type="textWrapping"/>
            </w:r>
            <w:r>
              <w:rPr>
                <w:rFonts w:hint="eastAsia" w:ascii="宋体" w:hAnsi="宋体" w:cs="宋体"/>
                <w:szCs w:val="21"/>
              </w:rPr>
              <w:t>路、虚接、短路等故障设置和诊断；</w:t>
            </w:r>
            <w:r>
              <w:rPr>
                <w:rFonts w:hint="eastAsia" w:ascii="宋体" w:hAnsi="宋体" w:cs="宋体"/>
                <w:szCs w:val="21"/>
              </w:rPr>
              <w:br w:type="textWrapping"/>
            </w:r>
            <w:r>
              <w:rPr>
                <w:rFonts w:hint="eastAsia" w:ascii="宋体" w:hAnsi="宋体" w:cs="宋体"/>
                <w:szCs w:val="21"/>
              </w:rPr>
              <w:t>15.交流充电口单元教学实训系统，可检测信号含开锁电源，闭锁电源，温度传感器高，温度传感器低，CC信号，CP信号等，可对交流充电口单元主要线路进行断路、短路、虚接、交叉错接等故障设置和诊断；</w:t>
            </w:r>
            <w:r>
              <w:rPr>
                <w:rFonts w:hint="eastAsia" w:ascii="宋体" w:hAnsi="宋体" w:cs="宋体"/>
                <w:szCs w:val="21"/>
              </w:rPr>
              <w:br w:type="textWrapping"/>
            </w:r>
            <w:r>
              <w:rPr>
                <w:rFonts w:hint="eastAsia" w:ascii="宋体" w:hAnsi="宋体" w:cs="宋体"/>
                <w:szCs w:val="21"/>
              </w:rPr>
              <w:t>16.BCM车身电脑控制单元教学实训系统，可检测信号含照明系统，门锁系统，低压配电，通信和地线等，可对控制单元主要线路进行断路、短路、虚接、交叉错接等故障设置和诊断；</w:t>
            </w:r>
            <w:r>
              <w:rPr>
                <w:rFonts w:hint="eastAsia" w:ascii="宋体" w:hAnsi="宋体" w:cs="宋体"/>
                <w:szCs w:val="21"/>
              </w:rPr>
              <w:br w:type="textWrapping"/>
            </w:r>
            <w:r>
              <w:rPr>
                <w:rFonts w:hint="eastAsia" w:ascii="宋体" w:hAnsi="宋体" w:cs="宋体"/>
                <w:szCs w:val="21"/>
              </w:rPr>
              <w:t>17.另配电子版原车维修手册和电路图及说明书，指导故障设置和排除；</w:t>
            </w:r>
            <w:r>
              <w:rPr>
                <w:rFonts w:hint="eastAsia" w:ascii="宋体" w:hAnsi="宋体" w:cs="宋体"/>
                <w:szCs w:val="21"/>
              </w:rPr>
              <w:br w:type="textWrapping"/>
            </w:r>
            <w:r>
              <w:rPr>
                <w:rFonts w:hint="eastAsia" w:ascii="宋体" w:hAnsi="宋体" w:cs="宋体"/>
                <w:szCs w:val="21"/>
              </w:rPr>
              <w:t>18.配备智能故障设置和考核系统，通过无线设故，由教师设置故障，学员分析并查找故障点，掌握实车故障处理能力；无线故障设置不少于30个点，分断路，偶发等现象；</w:t>
            </w:r>
            <w:r>
              <w:rPr>
                <w:rFonts w:hint="eastAsia" w:ascii="宋体" w:hAnsi="宋体" w:cs="宋体"/>
                <w:szCs w:val="21"/>
              </w:rPr>
              <w:br w:type="textWrapping"/>
            </w:r>
            <w:r>
              <w:rPr>
                <w:rFonts w:hint="eastAsia" w:ascii="宋体" w:hAnsi="宋体" w:cs="宋体"/>
                <w:szCs w:val="21"/>
              </w:rPr>
              <w:t>19.检测面板采用4mm厚耐腐蚀、耐创击、耐污染、防火、防潮的高级铝塑板，表面经特殊工艺喷涂底漆处理；面板打印有永不褪色的彩色控制单元插头插座端子图；并安装2mm镀金检测端子，学员可通过对照原车电路图和原车实物，测量和分析各控制系统的工作原理和信号传输过程。</w:t>
            </w:r>
            <w:r>
              <w:rPr>
                <w:rFonts w:hint="eastAsia" w:ascii="宋体" w:hAnsi="宋体" w:cs="宋体"/>
                <w:szCs w:val="21"/>
              </w:rPr>
              <w:br w:type="textWrapping"/>
            </w:r>
            <w:r>
              <w:rPr>
                <w:rFonts w:hint="eastAsia" w:ascii="宋体" w:hAnsi="宋体" w:cs="宋体"/>
                <w:szCs w:val="21"/>
              </w:rPr>
              <w:t>三、基本配置</w:t>
            </w:r>
            <w:r>
              <w:rPr>
                <w:rFonts w:hint="eastAsia" w:ascii="宋体" w:hAnsi="宋体" w:cs="宋体"/>
                <w:szCs w:val="21"/>
              </w:rPr>
              <w:br w:type="textWrapping"/>
            </w:r>
            <w:r>
              <w:rPr>
                <w:rFonts w:hint="eastAsia" w:ascii="宋体" w:hAnsi="宋体" w:cs="宋体"/>
                <w:szCs w:val="21"/>
              </w:rPr>
              <w:t>1.专用对接线束1整套；</w:t>
            </w:r>
            <w:r>
              <w:rPr>
                <w:rFonts w:hint="eastAsia" w:ascii="宋体" w:hAnsi="宋体" w:cs="宋体"/>
                <w:szCs w:val="21"/>
              </w:rPr>
              <w:br w:type="textWrapping"/>
            </w:r>
            <w:r>
              <w:rPr>
                <w:rFonts w:hint="eastAsia" w:ascii="宋体" w:hAnsi="宋体" w:cs="宋体"/>
                <w:szCs w:val="21"/>
              </w:rPr>
              <w:t>2.整车故障设置与检测平台1台；</w:t>
            </w:r>
            <w:r>
              <w:rPr>
                <w:rFonts w:hint="eastAsia" w:ascii="宋体" w:hAnsi="宋体" w:cs="宋体"/>
                <w:szCs w:val="21"/>
              </w:rPr>
              <w:br w:type="textWrapping"/>
            </w:r>
            <w:r>
              <w:rPr>
                <w:rFonts w:hint="eastAsia" w:ascii="宋体" w:hAnsi="宋体" w:cs="宋体"/>
                <w:szCs w:val="21"/>
              </w:rPr>
              <w:t>3.机械设故系统1套（故障点不少于 300 路）；</w:t>
            </w:r>
            <w:r>
              <w:rPr>
                <w:rFonts w:hint="eastAsia" w:ascii="宋体" w:hAnsi="宋体" w:cs="宋体"/>
                <w:szCs w:val="21"/>
              </w:rPr>
              <w:br w:type="textWrapping"/>
            </w:r>
            <w:r>
              <w:rPr>
                <w:rFonts w:hint="eastAsia" w:ascii="宋体" w:hAnsi="宋体" w:cs="宋体"/>
                <w:szCs w:val="21"/>
              </w:rPr>
              <w:t>4.无线设故系统1套（故障点不少于 30 路）；</w:t>
            </w:r>
            <w:r>
              <w:rPr>
                <w:rFonts w:hint="eastAsia" w:ascii="宋体" w:hAnsi="宋体" w:cs="宋体"/>
                <w:szCs w:val="21"/>
              </w:rPr>
              <w:br w:type="textWrapping"/>
            </w:r>
            <w:r>
              <w:rPr>
                <w:rFonts w:hint="eastAsia" w:ascii="宋体" w:hAnsi="宋体" w:cs="宋体"/>
                <w:szCs w:val="21"/>
              </w:rPr>
              <w:t>5.多媒体一体机1台（不小于18.5英寸） ；</w:t>
            </w:r>
            <w:r>
              <w:rPr>
                <w:rFonts w:hint="eastAsia" w:ascii="宋体" w:hAnsi="宋体" w:cs="宋体"/>
                <w:szCs w:val="21"/>
              </w:rPr>
              <w:br w:type="textWrapping"/>
            </w:r>
            <w:r>
              <w:rPr>
                <w:rFonts w:hint="eastAsia" w:ascii="宋体" w:hAnsi="宋体" w:cs="宋体"/>
                <w:szCs w:val="21"/>
              </w:rPr>
              <w:t>6.整车控制原理图教板1件；</w:t>
            </w:r>
            <w:r>
              <w:rPr>
                <w:rFonts w:hint="eastAsia" w:ascii="宋体" w:hAnsi="宋体" w:cs="宋体"/>
                <w:szCs w:val="21"/>
              </w:rPr>
              <w:br w:type="textWrapping"/>
            </w:r>
            <w:r>
              <w:rPr>
                <w:rFonts w:hint="eastAsia" w:ascii="宋体" w:hAnsi="宋体" w:cs="宋体"/>
                <w:szCs w:val="21"/>
              </w:rPr>
              <w:t>四、可完成实训项目</w:t>
            </w:r>
            <w:r>
              <w:rPr>
                <w:rFonts w:hint="eastAsia" w:ascii="宋体" w:hAnsi="宋体" w:cs="宋体"/>
                <w:szCs w:val="21"/>
              </w:rPr>
              <w:br w:type="textWrapping"/>
            </w:r>
            <w:r>
              <w:rPr>
                <w:rFonts w:hint="eastAsia" w:ascii="宋体" w:hAnsi="宋体" w:cs="宋体"/>
                <w:szCs w:val="21"/>
              </w:rPr>
              <w:t>1.了解纯电动汽车的技术参数；</w:t>
            </w:r>
            <w:r>
              <w:rPr>
                <w:rFonts w:hint="eastAsia" w:ascii="宋体" w:hAnsi="宋体" w:cs="宋体"/>
                <w:szCs w:val="21"/>
              </w:rPr>
              <w:br w:type="textWrapping"/>
            </w:r>
            <w:r>
              <w:rPr>
                <w:rFonts w:hint="eastAsia" w:ascii="宋体" w:hAnsi="宋体" w:cs="宋体"/>
                <w:szCs w:val="21"/>
              </w:rPr>
              <w:t>2.熟悉各总成零部件的名称和功能；</w:t>
            </w:r>
            <w:r>
              <w:rPr>
                <w:rFonts w:hint="eastAsia" w:ascii="宋体" w:hAnsi="宋体" w:cs="宋体"/>
                <w:szCs w:val="21"/>
              </w:rPr>
              <w:br w:type="textWrapping"/>
            </w:r>
            <w:r>
              <w:rPr>
                <w:rFonts w:hint="eastAsia" w:ascii="宋体" w:hAnsi="宋体" w:cs="宋体"/>
                <w:szCs w:val="21"/>
              </w:rPr>
              <w:t>3.了解比亚迪高压三合一充配电总成技术先进性；</w:t>
            </w:r>
            <w:r>
              <w:rPr>
                <w:rFonts w:hint="eastAsia" w:ascii="宋体" w:hAnsi="宋体" w:cs="宋体"/>
                <w:szCs w:val="21"/>
              </w:rPr>
              <w:br w:type="textWrapping"/>
            </w:r>
            <w:r>
              <w:rPr>
                <w:rFonts w:hint="eastAsia" w:ascii="宋体" w:hAnsi="宋体" w:cs="宋体"/>
                <w:szCs w:val="21"/>
              </w:rPr>
              <w:t>4.了解纯电动汽车各总成之间的控制关系；</w:t>
            </w:r>
            <w:r>
              <w:rPr>
                <w:rFonts w:hint="eastAsia" w:ascii="宋体" w:hAnsi="宋体" w:cs="宋体"/>
                <w:szCs w:val="21"/>
              </w:rPr>
              <w:br w:type="textWrapping"/>
            </w:r>
            <w:r>
              <w:rPr>
                <w:rFonts w:hint="eastAsia" w:ascii="宋体" w:hAnsi="宋体" w:cs="宋体"/>
                <w:szCs w:val="21"/>
              </w:rPr>
              <w:t>5.熟悉控制模块的组成；</w:t>
            </w:r>
            <w:r>
              <w:rPr>
                <w:rFonts w:hint="eastAsia" w:ascii="宋体" w:hAnsi="宋体" w:cs="宋体"/>
                <w:szCs w:val="21"/>
              </w:rPr>
              <w:br w:type="textWrapping"/>
            </w:r>
            <w:r>
              <w:rPr>
                <w:rFonts w:hint="eastAsia" w:ascii="宋体" w:hAnsi="宋体" w:cs="宋体"/>
                <w:szCs w:val="21"/>
              </w:rPr>
              <w:t>6.了解电机控制器模块的结构和工作原理；</w:t>
            </w:r>
            <w:r>
              <w:rPr>
                <w:rFonts w:hint="eastAsia" w:ascii="宋体" w:hAnsi="宋体" w:cs="宋体"/>
                <w:szCs w:val="21"/>
              </w:rPr>
              <w:br w:type="textWrapping"/>
            </w:r>
            <w:r>
              <w:rPr>
                <w:rFonts w:hint="eastAsia" w:ascii="宋体" w:hAnsi="宋体" w:cs="宋体"/>
                <w:szCs w:val="21"/>
              </w:rPr>
              <w:t>7.掌握电机控制器模块的检测方法；</w:t>
            </w:r>
            <w:r>
              <w:rPr>
                <w:rFonts w:hint="eastAsia" w:ascii="宋体" w:hAnsi="宋体" w:cs="宋体"/>
                <w:szCs w:val="21"/>
              </w:rPr>
              <w:br w:type="textWrapping"/>
            </w:r>
            <w:r>
              <w:rPr>
                <w:rFonts w:hint="eastAsia" w:ascii="宋体" w:hAnsi="宋体" w:cs="宋体"/>
                <w:szCs w:val="21"/>
              </w:rPr>
              <w:t>8.了解DC-DC转换器模块的结构和工作原理；</w:t>
            </w:r>
            <w:r>
              <w:rPr>
                <w:rFonts w:hint="eastAsia" w:ascii="宋体" w:hAnsi="宋体" w:cs="宋体"/>
                <w:szCs w:val="21"/>
              </w:rPr>
              <w:br w:type="textWrapping"/>
            </w:r>
            <w:r>
              <w:rPr>
                <w:rFonts w:hint="eastAsia" w:ascii="宋体" w:hAnsi="宋体" w:cs="宋体"/>
                <w:szCs w:val="21"/>
              </w:rPr>
              <w:t>9.掌握DC-DC转换器模块的检测方法；</w:t>
            </w:r>
            <w:r>
              <w:rPr>
                <w:rFonts w:hint="eastAsia" w:ascii="宋体" w:hAnsi="宋体" w:cs="宋体"/>
                <w:szCs w:val="21"/>
              </w:rPr>
              <w:br w:type="textWrapping"/>
            </w:r>
            <w:r>
              <w:rPr>
                <w:rFonts w:hint="eastAsia" w:ascii="宋体" w:hAnsi="宋体" w:cs="宋体"/>
                <w:szCs w:val="21"/>
              </w:rPr>
              <w:t>10.了解动力配电箱模块的结构和工作原理；</w:t>
            </w:r>
            <w:r>
              <w:rPr>
                <w:rFonts w:hint="eastAsia" w:ascii="宋体" w:hAnsi="宋体" w:cs="宋体"/>
                <w:szCs w:val="21"/>
              </w:rPr>
              <w:br w:type="textWrapping"/>
            </w:r>
            <w:r>
              <w:rPr>
                <w:rFonts w:hint="eastAsia" w:ascii="宋体" w:hAnsi="宋体" w:cs="宋体"/>
                <w:szCs w:val="21"/>
              </w:rPr>
              <w:t>11.掌握动力配电箱模块的检测方法；</w:t>
            </w:r>
            <w:r>
              <w:rPr>
                <w:rFonts w:hint="eastAsia" w:ascii="宋体" w:hAnsi="宋体" w:cs="宋体"/>
                <w:szCs w:val="21"/>
              </w:rPr>
              <w:br w:type="textWrapping"/>
            </w:r>
            <w:r>
              <w:rPr>
                <w:rFonts w:hint="eastAsia" w:ascii="宋体" w:hAnsi="宋体" w:cs="宋体"/>
                <w:szCs w:val="21"/>
              </w:rPr>
              <w:t>12.了解电池管理单元的结构和工作原理；</w:t>
            </w:r>
            <w:r>
              <w:rPr>
                <w:rFonts w:hint="eastAsia" w:ascii="宋体" w:hAnsi="宋体" w:cs="宋体"/>
                <w:szCs w:val="21"/>
              </w:rPr>
              <w:br w:type="textWrapping"/>
            </w:r>
            <w:r>
              <w:rPr>
                <w:rFonts w:hint="eastAsia" w:ascii="宋体" w:hAnsi="宋体" w:cs="宋体"/>
                <w:szCs w:val="21"/>
              </w:rPr>
              <w:t>13.掌握电池管理单元的检测方法；</w:t>
            </w:r>
            <w:r>
              <w:rPr>
                <w:rFonts w:hint="eastAsia" w:ascii="宋体" w:hAnsi="宋体" w:cs="宋体"/>
                <w:szCs w:val="21"/>
              </w:rPr>
              <w:br w:type="textWrapping"/>
            </w:r>
            <w:r>
              <w:rPr>
                <w:rFonts w:hint="eastAsia" w:ascii="宋体" w:hAnsi="宋体" w:cs="宋体"/>
                <w:szCs w:val="21"/>
              </w:rPr>
              <w:t>14.熟悉电机总成的结构、工作原理及工作过程；</w:t>
            </w:r>
            <w:r>
              <w:rPr>
                <w:rFonts w:hint="eastAsia" w:ascii="宋体" w:hAnsi="宋体" w:cs="宋体"/>
                <w:szCs w:val="21"/>
              </w:rPr>
              <w:br w:type="textWrapping"/>
            </w:r>
            <w:r>
              <w:rPr>
                <w:rFonts w:hint="eastAsia" w:ascii="宋体" w:hAnsi="宋体" w:cs="宋体"/>
                <w:szCs w:val="21"/>
              </w:rPr>
              <w:t>15.掌握电机总成的检测方法；</w:t>
            </w:r>
            <w:r>
              <w:rPr>
                <w:rFonts w:hint="eastAsia" w:ascii="宋体" w:hAnsi="宋体" w:cs="宋体"/>
                <w:szCs w:val="21"/>
              </w:rPr>
              <w:br w:type="textWrapping"/>
            </w:r>
            <w:r>
              <w:rPr>
                <w:rFonts w:hint="eastAsia" w:ascii="宋体" w:hAnsi="宋体" w:cs="宋体"/>
                <w:szCs w:val="21"/>
              </w:rPr>
              <w:t>16.了解220V/7KW交流车载慢充的结构和工作原理；</w:t>
            </w:r>
            <w:r>
              <w:rPr>
                <w:rFonts w:hint="eastAsia" w:ascii="宋体" w:hAnsi="宋体" w:cs="宋体"/>
                <w:szCs w:val="21"/>
              </w:rPr>
              <w:br w:type="textWrapping"/>
            </w:r>
            <w:r>
              <w:rPr>
                <w:rFonts w:hint="eastAsia" w:ascii="宋体" w:hAnsi="宋体" w:cs="宋体"/>
                <w:szCs w:val="21"/>
              </w:rPr>
              <w:t>17掌握220V/7KW交流车载慢充的检测方法；</w:t>
            </w:r>
            <w:r>
              <w:rPr>
                <w:rFonts w:hint="eastAsia" w:ascii="宋体" w:hAnsi="宋体" w:cs="宋体"/>
                <w:szCs w:val="21"/>
              </w:rPr>
              <w:br w:type="textWrapping"/>
            </w:r>
            <w:r>
              <w:rPr>
                <w:rFonts w:hint="eastAsia" w:ascii="宋体" w:hAnsi="宋体" w:cs="宋体"/>
                <w:szCs w:val="21"/>
              </w:rPr>
              <w:t>18.了解直流快充的结构和工作原理；</w:t>
            </w:r>
            <w:r>
              <w:rPr>
                <w:rFonts w:hint="eastAsia" w:ascii="宋体" w:hAnsi="宋体" w:cs="宋体"/>
                <w:szCs w:val="21"/>
              </w:rPr>
              <w:br w:type="textWrapping"/>
            </w:r>
            <w:r>
              <w:rPr>
                <w:rFonts w:hint="eastAsia" w:ascii="宋体" w:hAnsi="宋体" w:cs="宋体"/>
                <w:szCs w:val="21"/>
              </w:rPr>
              <w:t>19.掌握直流快充的检测方法；</w:t>
            </w:r>
            <w:r>
              <w:rPr>
                <w:rFonts w:hint="eastAsia" w:ascii="宋体" w:hAnsi="宋体" w:cs="宋体"/>
                <w:szCs w:val="21"/>
              </w:rPr>
              <w:br w:type="textWrapping"/>
            </w:r>
            <w:r>
              <w:rPr>
                <w:rFonts w:hint="eastAsia" w:ascii="宋体" w:hAnsi="宋体" w:cs="宋体"/>
                <w:szCs w:val="21"/>
              </w:rPr>
              <w:t>20.了解档位控制器的结构和工作原理；</w:t>
            </w:r>
            <w:r>
              <w:rPr>
                <w:rFonts w:hint="eastAsia" w:ascii="宋体" w:hAnsi="宋体" w:cs="宋体"/>
                <w:szCs w:val="21"/>
              </w:rPr>
              <w:br w:type="textWrapping"/>
            </w:r>
            <w:r>
              <w:rPr>
                <w:rFonts w:hint="eastAsia" w:ascii="宋体" w:hAnsi="宋体" w:cs="宋体"/>
                <w:szCs w:val="21"/>
              </w:rPr>
              <w:t>21.掌握档位控制器的检测方法；</w:t>
            </w:r>
            <w:r>
              <w:rPr>
                <w:rFonts w:hint="eastAsia" w:ascii="宋体" w:hAnsi="宋体" w:cs="宋体"/>
                <w:szCs w:val="21"/>
              </w:rPr>
              <w:br w:type="textWrapping"/>
            </w:r>
            <w:r>
              <w:rPr>
                <w:rFonts w:hint="eastAsia" w:ascii="宋体" w:hAnsi="宋体" w:cs="宋体"/>
                <w:szCs w:val="21"/>
              </w:rPr>
              <w:t>22.了解主控ECU的结构和工作原理；</w:t>
            </w:r>
            <w:r>
              <w:rPr>
                <w:rFonts w:hint="eastAsia" w:ascii="宋体" w:hAnsi="宋体" w:cs="宋体"/>
                <w:szCs w:val="21"/>
              </w:rPr>
              <w:br w:type="textWrapping"/>
            </w:r>
            <w:r>
              <w:rPr>
                <w:rFonts w:hint="eastAsia" w:ascii="宋体" w:hAnsi="宋体" w:cs="宋体"/>
                <w:szCs w:val="21"/>
              </w:rPr>
              <w:t>23.掌握主控ECU的检测方法；</w:t>
            </w:r>
            <w:r>
              <w:rPr>
                <w:rFonts w:hint="eastAsia" w:ascii="宋体" w:hAnsi="宋体" w:cs="宋体"/>
                <w:szCs w:val="21"/>
              </w:rPr>
              <w:br w:type="textWrapping"/>
            </w:r>
            <w:r>
              <w:rPr>
                <w:rFonts w:hint="eastAsia" w:ascii="宋体" w:hAnsi="宋体" w:cs="宋体"/>
                <w:szCs w:val="21"/>
              </w:rPr>
              <w:t>24.了解加速踏板的结构和工作原理；</w:t>
            </w:r>
            <w:r>
              <w:rPr>
                <w:rFonts w:hint="eastAsia" w:ascii="宋体" w:hAnsi="宋体" w:cs="宋体"/>
                <w:szCs w:val="21"/>
              </w:rPr>
              <w:br w:type="textWrapping"/>
            </w:r>
            <w:r>
              <w:rPr>
                <w:rFonts w:hint="eastAsia" w:ascii="宋体" w:hAnsi="宋体" w:cs="宋体"/>
                <w:szCs w:val="21"/>
              </w:rPr>
              <w:t>25.掌握加速踏板的检测方法；</w:t>
            </w:r>
            <w:r>
              <w:rPr>
                <w:rFonts w:hint="eastAsia" w:ascii="宋体" w:hAnsi="宋体" w:cs="宋体"/>
                <w:szCs w:val="21"/>
              </w:rPr>
              <w:br w:type="textWrapping"/>
            </w:r>
            <w:r>
              <w:rPr>
                <w:rFonts w:hint="eastAsia" w:ascii="宋体" w:hAnsi="宋体" w:cs="宋体"/>
                <w:szCs w:val="21"/>
              </w:rPr>
              <w:t>26.了解防盗系统结构和工作原理；</w:t>
            </w:r>
            <w:r>
              <w:rPr>
                <w:rFonts w:hint="eastAsia" w:ascii="宋体" w:hAnsi="宋体" w:cs="宋体"/>
                <w:szCs w:val="21"/>
              </w:rPr>
              <w:br w:type="textWrapping"/>
            </w:r>
            <w:r>
              <w:rPr>
                <w:rFonts w:hint="eastAsia" w:ascii="宋体" w:hAnsi="宋体" w:cs="宋体"/>
                <w:szCs w:val="21"/>
              </w:rPr>
              <w:t>27.掌握防盗系统的检测方法；</w:t>
            </w:r>
            <w:r>
              <w:rPr>
                <w:rFonts w:hint="eastAsia" w:ascii="宋体" w:hAnsi="宋体" w:cs="宋体"/>
                <w:szCs w:val="21"/>
              </w:rPr>
              <w:br w:type="textWrapping"/>
            </w:r>
            <w:r>
              <w:rPr>
                <w:rFonts w:hint="eastAsia" w:ascii="宋体" w:hAnsi="宋体" w:cs="宋体"/>
                <w:szCs w:val="21"/>
              </w:rPr>
              <w:t>28.了解车身电器系统结构和工作原理；</w:t>
            </w:r>
            <w:r>
              <w:rPr>
                <w:rFonts w:hint="eastAsia" w:ascii="宋体" w:hAnsi="宋体" w:cs="宋体"/>
                <w:szCs w:val="21"/>
              </w:rPr>
              <w:br w:type="textWrapping"/>
            </w:r>
            <w:r>
              <w:rPr>
                <w:rFonts w:hint="eastAsia" w:ascii="宋体" w:hAnsi="宋体" w:cs="宋体"/>
                <w:szCs w:val="21"/>
              </w:rPr>
              <w:t>29.掌握车身电器系统的检测方法；</w:t>
            </w:r>
          </w:p>
        </w:tc>
        <w:tc>
          <w:tcPr>
            <w:tcW w:w="357" w:type="pct"/>
            <w:vAlign w:val="center"/>
          </w:tcPr>
          <w:p w14:paraId="35933225">
            <w:pPr>
              <w:jc w:val="center"/>
              <w:rPr>
                <w:rFonts w:hint="eastAsia" w:ascii="宋体" w:hAnsi="宋体" w:cs="宋体"/>
                <w:szCs w:val="21"/>
              </w:rPr>
            </w:pPr>
            <w:r>
              <w:rPr>
                <w:rFonts w:hint="eastAsia" w:ascii="宋体" w:hAnsi="宋体" w:cs="宋体"/>
                <w:szCs w:val="21"/>
              </w:rPr>
              <w:t>1</w:t>
            </w:r>
          </w:p>
        </w:tc>
        <w:tc>
          <w:tcPr>
            <w:tcW w:w="341" w:type="pct"/>
            <w:vAlign w:val="center"/>
          </w:tcPr>
          <w:p w14:paraId="6AF782B1">
            <w:pPr>
              <w:jc w:val="center"/>
              <w:rPr>
                <w:rFonts w:hint="eastAsia" w:ascii="宋体" w:hAnsi="宋体" w:cs="宋体"/>
                <w:szCs w:val="21"/>
              </w:rPr>
            </w:pPr>
            <w:r>
              <w:rPr>
                <w:rFonts w:hint="eastAsia" w:ascii="宋体" w:hAnsi="宋体" w:cs="宋体"/>
                <w:szCs w:val="21"/>
              </w:rPr>
              <w:t>套</w:t>
            </w:r>
          </w:p>
        </w:tc>
      </w:tr>
      <w:tr w14:paraId="15DB52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trHeight w:val="563" w:hRule="atLeast"/>
        </w:trPr>
        <w:tc>
          <w:tcPr>
            <w:tcW w:w="193" w:type="pct"/>
            <w:vAlign w:val="center"/>
          </w:tcPr>
          <w:p w14:paraId="077EB6ED">
            <w:pPr>
              <w:jc w:val="center"/>
              <w:rPr>
                <w:rFonts w:hint="eastAsia" w:ascii="宋体" w:hAnsi="宋体" w:cs="宋体"/>
                <w:b/>
                <w:bCs/>
                <w:szCs w:val="21"/>
              </w:rPr>
            </w:pPr>
            <w:r>
              <w:rPr>
                <w:rFonts w:hint="eastAsia" w:ascii="宋体" w:hAnsi="宋体" w:cs="宋体"/>
                <w:szCs w:val="21"/>
              </w:rPr>
              <w:t>7</w:t>
            </w:r>
          </w:p>
        </w:tc>
        <w:tc>
          <w:tcPr>
            <w:tcW w:w="536" w:type="pct"/>
            <w:vAlign w:val="center"/>
          </w:tcPr>
          <w:p w14:paraId="233C65AF">
            <w:pPr>
              <w:adjustRightInd w:val="0"/>
              <w:snapToGrid w:val="0"/>
              <w:jc w:val="center"/>
              <w:rPr>
                <w:rFonts w:hint="eastAsia" w:ascii="宋体" w:hAnsi="宋体" w:cs="宋体"/>
                <w:szCs w:val="21"/>
              </w:rPr>
            </w:pPr>
            <w:r>
              <w:rPr>
                <w:rFonts w:hint="eastAsia" w:ascii="宋体" w:hAnsi="宋体" w:cs="宋体"/>
                <w:szCs w:val="21"/>
              </w:rPr>
              <w:t>电池包组装实训台</w:t>
            </w:r>
          </w:p>
        </w:tc>
        <w:tc>
          <w:tcPr>
            <w:tcW w:w="3571" w:type="pct"/>
            <w:vAlign w:val="center"/>
          </w:tcPr>
          <w:p w14:paraId="5F15BE44">
            <w:pPr>
              <w:numPr>
                <w:ilvl w:val="0"/>
                <w:numId w:val="4"/>
              </w:numPr>
              <w:adjustRightInd w:val="0"/>
              <w:snapToGrid w:val="0"/>
              <w:ind w:left="105" w:leftChars="50"/>
              <w:jc w:val="left"/>
              <w:rPr>
                <w:rFonts w:hint="eastAsia" w:ascii="宋体" w:hAnsi="宋体" w:cs="宋体"/>
                <w:szCs w:val="21"/>
              </w:rPr>
            </w:pPr>
            <w:r>
              <w:rPr>
                <w:rFonts w:hint="eastAsia" w:ascii="宋体" w:hAnsi="宋体" w:cs="宋体"/>
                <w:szCs w:val="21"/>
              </w:rPr>
              <w:t>产品组成要求：</w:t>
            </w:r>
            <w:r>
              <w:rPr>
                <w:rFonts w:hint="eastAsia" w:ascii="宋体" w:hAnsi="宋体" w:cs="宋体"/>
                <w:szCs w:val="21"/>
              </w:rPr>
              <w:br w:type="textWrapping"/>
            </w:r>
            <w:r>
              <w:rPr>
                <w:rFonts w:hint="eastAsia" w:ascii="宋体" w:hAnsi="宋体" w:cs="宋体"/>
                <w:szCs w:val="21"/>
              </w:rPr>
              <w:t>1、BMS电池管理系统：主控系统1个、从控采集盒1个、采集线束1条、电流传感器1个、充放电保险丝1个、温度传感器4个、CAN转换盒1个、上位机软件1套。</w:t>
            </w:r>
            <w:r>
              <w:rPr>
                <w:rFonts w:hint="eastAsia" w:ascii="宋体" w:hAnsi="宋体" w:cs="宋体"/>
                <w:szCs w:val="21"/>
              </w:rPr>
              <w:br w:type="textWrapping"/>
            </w:r>
            <w:r>
              <w:rPr>
                <w:rFonts w:hint="eastAsia" w:ascii="宋体" w:hAnsi="宋体" w:cs="宋体"/>
                <w:szCs w:val="21"/>
              </w:rPr>
              <w:t>2、电池箱：电池箱底壳体1个、电池箱上透明壳体1个、维修开关支架1个、电池束带4个、电池固定座2个、主放电继电器2个、预充继电器1个、充电继电器1个、预充电阻1个、充放电高压插头2套、通讯插座1套、充放电保险丝1个。</w:t>
            </w:r>
            <w:r>
              <w:rPr>
                <w:rFonts w:hint="eastAsia" w:ascii="宋体" w:hAnsi="宋体" w:cs="宋体"/>
                <w:szCs w:val="21"/>
              </w:rPr>
              <w:br w:type="textWrapping"/>
            </w:r>
            <w:r>
              <w:rPr>
                <w:rFonts w:hint="eastAsia" w:ascii="宋体" w:hAnsi="宋体" w:cs="宋体"/>
                <w:szCs w:val="21"/>
              </w:rPr>
              <w:t>3、电池组：3.2V20AH方形铝壳封装磷酸铁锂电池30块、电池连接片24个、MSD机械维修开关1个</w:t>
            </w:r>
            <w:r>
              <w:rPr>
                <w:rFonts w:hint="eastAsia" w:ascii="宋体" w:hAnsi="宋体" w:cs="宋体"/>
                <w:szCs w:val="21"/>
              </w:rPr>
              <w:br w:type="textWrapping"/>
            </w:r>
            <w:r>
              <w:rPr>
                <w:rFonts w:hint="eastAsia" w:ascii="宋体" w:hAnsi="宋体" w:cs="宋体"/>
                <w:szCs w:val="21"/>
              </w:rPr>
              <w:t>4、控制箱：箱体1套、车载充电机1台、交流充电座1个、直流充电座1个、充电指示灯1个、运行指示灯1个、控制开关1个、放电负载1套、充放电接口1套。</w:t>
            </w:r>
            <w:r>
              <w:rPr>
                <w:rFonts w:hint="eastAsia" w:ascii="宋体" w:hAnsi="宋体" w:cs="宋体"/>
                <w:szCs w:val="21"/>
              </w:rPr>
              <w:br w:type="textWrapping"/>
            </w:r>
            <w:r>
              <w:rPr>
                <w:rFonts w:hint="eastAsia" w:ascii="宋体" w:hAnsi="宋体" w:cs="宋体"/>
                <w:szCs w:val="21"/>
              </w:rPr>
              <w:t>二、产品规格要求：</w:t>
            </w:r>
            <w:r>
              <w:rPr>
                <w:rFonts w:hint="eastAsia" w:ascii="宋体" w:hAnsi="宋体" w:cs="宋体"/>
                <w:szCs w:val="21"/>
              </w:rPr>
              <w:br w:type="textWrapping"/>
            </w:r>
            <w:r>
              <w:rPr>
                <w:rFonts w:hint="eastAsia" w:ascii="宋体" w:hAnsi="宋体" w:cs="宋体"/>
                <w:szCs w:val="21"/>
              </w:rPr>
              <w:t>1、电池箱：外型尺寸；长（850mm-860mm）*宽（560mm-570mm）*高（180mm-190mm</w:t>
            </w:r>
          </w:p>
          <w:p w14:paraId="603132C8">
            <w:pPr>
              <w:adjustRightInd w:val="0"/>
              <w:snapToGrid w:val="0"/>
              <w:ind w:left="105" w:leftChars="50"/>
              <w:jc w:val="left"/>
              <w:rPr>
                <w:rFonts w:hint="eastAsia" w:ascii="宋体" w:hAnsi="宋体" w:cs="宋体"/>
                <w:szCs w:val="21"/>
              </w:rPr>
            </w:pPr>
            <w:r>
              <w:rPr>
                <w:rFonts w:hint="eastAsia" w:ascii="宋体" w:hAnsi="宋体" w:cs="宋体"/>
                <w:szCs w:val="21"/>
              </w:rPr>
              <w:t>2、产品工艺；底座1.5mm钢板折弯表面静电喷涂罩盖5mm透明亚克力板熔接</w:t>
            </w:r>
            <w:r>
              <w:rPr>
                <w:rFonts w:hint="eastAsia" w:ascii="宋体" w:hAnsi="宋体" w:cs="宋体"/>
                <w:szCs w:val="21"/>
              </w:rPr>
              <w:br w:type="textWrapping"/>
            </w:r>
            <w:r>
              <w:rPr>
                <w:rFonts w:hint="eastAsia" w:ascii="宋体" w:hAnsi="宋体" w:cs="宋体"/>
                <w:szCs w:val="21"/>
              </w:rPr>
              <w:t>三、产品功能要求：</w:t>
            </w:r>
            <w:r>
              <w:rPr>
                <w:rFonts w:hint="eastAsia" w:ascii="宋体" w:hAnsi="宋体" w:cs="宋体"/>
                <w:szCs w:val="21"/>
              </w:rPr>
              <w:br w:type="textWrapping"/>
            </w:r>
            <w:r>
              <w:rPr>
                <w:rFonts w:hint="eastAsia" w:ascii="宋体" w:hAnsi="宋体" w:cs="宋体"/>
                <w:szCs w:val="21"/>
              </w:rPr>
              <w:t>1、电池单体为方形磷酸铁锂电池，使用螺栓方式连接，电池单体标称电压3.2V，容量20Ah。</w:t>
            </w:r>
            <w:r>
              <w:rPr>
                <w:rFonts w:hint="eastAsia" w:ascii="宋体" w:hAnsi="宋体" w:cs="宋体"/>
                <w:szCs w:val="21"/>
              </w:rPr>
              <w:br w:type="textWrapping"/>
            </w:r>
            <w:r>
              <w:rPr>
                <w:rFonts w:hint="eastAsia" w:ascii="宋体" w:hAnsi="宋体" w:cs="宋体"/>
                <w:szCs w:val="21"/>
              </w:rPr>
              <w:t>2、电池箱体可布置2个模组每个模组可安装12串电池，箱体内设置电池模组卡槽，箱体可容纳总电池节数24节，模组间设有手动维修开关，电池箱体上盖采用透明材质制作。</w:t>
            </w:r>
            <w:r>
              <w:rPr>
                <w:rFonts w:hint="eastAsia" w:ascii="宋体" w:hAnsi="宋体" w:cs="宋体"/>
                <w:szCs w:val="21"/>
              </w:rPr>
              <w:br w:type="textWrapping"/>
            </w:r>
            <w:r>
              <w:rPr>
                <w:rFonts w:hint="eastAsia" w:ascii="宋体" w:hAnsi="宋体" w:cs="宋体"/>
                <w:szCs w:val="21"/>
              </w:rPr>
              <w:t>3、采用车规级分布式电池管理系统，可利用上位机软件对电池管理系统进行参数设置，具有高压互锁信号检测、接触器粘连检测功能。</w:t>
            </w:r>
            <w:r>
              <w:rPr>
                <w:rFonts w:hint="eastAsia" w:ascii="宋体" w:hAnsi="宋体" w:cs="宋体"/>
                <w:szCs w:val="21"/>
              </w:rPr>
              <w:br w:type="textWrapping"/>
            </w:r>
            <w:r>
              <w:rPr>
                <w:rFonts w:hint="eastAsia" w:ascii="宋体" w:hAnsi="宋体" w:cs="宋体"/>
                <w:szCs w:val="21"/>
              </w:rPr>
              <w:t>4、技术平台配置国标交流充电口和车载充电机，支持国标7kW及以下交流充电桩充电，预留直流充电口。</w:t>
            </w:r>
            <w:r>
              <w:rPr>
                <w:rFonts w:hint="eastAsia" w:ascii="宋体" w:hAnsi="宋体" w:cs="宋体"/>
                <w:szCs w:val="21"/>
              </w:rPr>
              <w:br w:type="textWrapping"/>
            </w:r>
            <w:r>
              <w:rPr>
                <w:rFonts w:hint="eastAsia" w:ascii="宋体" w:hAnsi="宋体" w:cs="宋体"/>
                <w:szCs w:val="21"/>
              </w:rPr>
              <w:t>5、技术平台配置其他元件包含：电压采样线束、温度采样线束、电池连接片、紧固螺栓、主接触器、预充接触器、交流充电接触器、电流传感器、高压线束、维修开关、简易放电负载等。</w:t>
            </w:r>
            <w:r>
              <w:rPr>
                <w:rFonts w:hint="eastAsia" w:ascii="宋体" w:hAnsi="宋体" w:cs="宋体"/>
                <w:szCs w:val="21"/>
              </w:rPr>
              <w:br w:type="textWrapping"/>
            </w:r>
            <w:r>
              <w:rPr>
                <w:rFonts w:hint="eastAsia" w:ascii="宋体" w:hAnsi="宋体" w:cs="宋体"/>
                <w:szCs w:val="21"/>
              </w:rPr>
              <w:t>6、技术平台配置可视化图文界面，可动态显示电池管理系统内部参数，支持对电池管理系统更新升级。</w:t>
            </w:r>
            <w:r>
              <w:rPr>
                <w:rFonts w:hint="eastAsia" w:ascii="宋体" w:hAnsi="宋体" w:cs="宋体"/>
                <w:szCs w:val="21"/>
              </w:rPr>
              <w:br w:type="textWrapping"/>
            </w:r>
            <w:r>
              <w:rPr>
                <w:rFonts w:hint="eastAsia" w:ascii="宋体" w:hAnsi="宋体" w:cs="宋体"/>
                <w:szCs w:val="21"/>
              </w:rPr>
              <w:t>7、高压板版块：可实时显示电池包放电电流、充电电流、总电压、绝缘电阻值、SOC值、电池包最高电压组、电池包最低电压组、电压差、电池组平均电压。</w:t>
            </w:r>
            <w:r>
              <w:rPr>
                <w:rFonts w:hint="eastAsia" w:ascii="宋体" w:hAnsi="宋体" w:cs="宋体"/>
                <w:szCs w:val="21"/>
              </w:rPr>
              <w:br w:type="textWrapping"/>
            </w:r>
            <w:r>
              <w:rPr>
                <w:rFonts w:hint="eastAsia" w:ascii="宋体" w:hAnsi="宋体" w:cs="宋体"/>
                <w:szCs w:val="21"/>
              </w:rPr>
              <w:t>8、电池包版块：可实时显示电池包内所有温度传感器数值并列出最高温度值和最低温度值。</w:t>
            </w:r>
            <w:r>
              <w:rPr>
                <w:rFonts w:hint="eastAsia" w:ascii="宋体" w:hAnsi="宋体" w:cs="宋体"/>
                <w:szCs w:val="21"/>
              </w:rPr>
              <w:br w:type="textWrapping"/>
            </w:r>
            <w:r>
              <w:rPr>
                <w:rFonts w:hint="eastAsia" w:ascii="宋体" w:hAnsi="宋体" w:cs="宋体"/>
                <w:szCs w:val="21"/>
              </w:rPr>
              <w:t>9、总电压欠压报警阈值、SOC过低报警阈值、单体动态电压差报警阈值、系统温度差报警阈值。</w:t>
            </w:r>
            <w:r>
              <w:rPr>
                <w:rFonts w:hint="eastAsia" w:ascii="宋体" w:hAnsi="宋体" w:cs="宋体"/>
                <w:szCs w:val="21"/>
              </w:rPr>
              <w:br w:type="textWrapping"/>
            </w:r>
            <w:r>
              <w:rPr>
                <w:rFonts w:hint="eastAsia" w:ascii="宋体" w:hAnsi="宋体" w:cs="宋体"/>
                <w:szCs w:val="21"/>
              </w:rPr>
              <w:t>10、通讯故障版块：可实时显示电池组中各模块间通讯状态如电池组通讯状态、HMU通讯状态。</w:t>
            </w:r>
            <w:r>
              <w:rPr>
                <w:rFonts w:hint="eastAsia" w:ascii="宋体" w:hAnsi="宋体" w:cs="宋体"/>
                <w:szCs w:val="21"/>
              </w:rPr>
              <w:br w:type="textWrapping"/>
            </w:r>
            <w:r>
              <w:rPr>
                <w:rFonts w:hint="eastAsia" w:ascii="宋体" w:hAnsi="宋体" w:cs="宋体"/>
                <w:szCs w:val="21"/>
              </w:rPr>
              <w:t>11、技术平台配置资源存储计算机，可存储可视化课程资源和文本资源等，支持资源远程更新。</w:t>
            </w:r>
            <w:r>
              <w:rPr>
                <w:rFonts w:hint="eastAsia" w:ascii="宋体" w:hAnsi="宋体" w:cs="宋体"/>
                <w:szCs w:val="21"/>
              </w:rPr>
              <w:br w:type="textWrapping"/>
            </w:r>
            <w:r>
              <w:rPr>
                <w:rFonts w:hint="eastAsia" w:ascii="宋体" w:hAnsi="宋体" w:cs="宋体"/>
                <w:szCs w:val="21"/>
              </w:rPr>
              <w:t>12、技术平台支持功能扩展，实训过程中可通过预留接口与实训检测面板对接用于检测电池管理系统及电池包各项参数。</w:t>
            </w:r>
            <w:r>
              <w:rPr>
                <w:rFonts w:hint="eastAsia" w:ascii="宋体" w:hAnsi="宋体" w:cs="宋体"/>
                <w:szCs w:val="21"/>
              </w:rPr>
              <w:br w:type="textWrapping"/>
            </w:r>
            <w:r>
              <w:rPr>
                <w:rFonts w:hint="eastAsia" w:ascii="宋体" w:hAnsi="宋体" w:cs="宋体"/>
                <w:szCs w:val="21"/>
              </w:rPr>
              <w:t>13、技术平台配置多工能控制箱用于电池包充电控制、放电控制、报警控制，通过控制箱上的指示灯可清晰了解到电池包运行状态。</w:t>
            </w:r>
            <w:r>
              <w:rPr>
                <w:rFonts w:hint="eastAsia" w:ascii="宋体" w:hAnsi="宋体" w:cs="宋体"/>
                <w:szCs w:val="21"/>
              </w:rPr>
              <w:br w:type="textWrapping"/>
            </w:r>
            <w:r>
              <w:rPr>
                <w:rFonts w:hint="eastAsia" w:ascii="宋体" w:hAnsi="宋体" w:cs="宋体"/>
                <w:szCs w:val="21"/>
              </w:rPr>
              <w:t>四、电池包组装实训台智能化教学系统软件技术要求：</w:t>
            </w:r>
            <w:r>
              <w:rPr>
                <w:rFonts w:hint="eastAsia" w:ascii="宋体" w:hAnsi="宋体" w:cs="宋体"/>
                <w:szCs w:val="21"/>
              </w:rPr>
              <w:br w:type="textWrapping"/>
            </w:r>
            <w:r>
              <w:rPr>
                <w:rFonts w:hint="eastAsia" w:ascii="宋体" w:hAnsi="宋体" w:cs="宋体"/>
                <w:szCs w:val="21"/>
              </w:rPr>
              <w:t>该软件配置可视化图文界面，可实时采集电池管理系统的动态数据和对电池管理系统进行参数设置，并支持对电池管理系统更新升级和关键数据保存打印功能。</w:t>
            </w:r>
            <w:r>
              <w:rPr>
                <w:rFonts w:hint="eastAsia" w:ascii="宋体" w:hAnsi="宋体" w:cs="宋体"/>
                <w:szCs w:val="21"/>
              </w:rPr>
              <w:br w:type="textWrapping"/>
            </w:r>
            <w:r>
              <w:rPr>
                <w:rFonts w:hint="eastAsia" w:ascii="宋体" w:hAnsi="宋体" w:cs="宋体"/>
                <w:szCs w:val="21"/>
              </w:rPr>
              <w:t>上位机软件主要分为7个模块，分别为：高压版模块、电池包模块、电池电压模块、HBMU配置模块、通讯故障模块、输入输出模块和实时数据模块。（投标文件中需提供高压版模块、电池包模块、电池电压模块、HBMU配置模块、通讯故障模块、输入输出模块和实时数据模块功能7个截图加盖投标人公章）</w:t>
            </w:r>
            <w:r>
              <w:rPr>
                <w:rFonts w:hint="eastAsia" w:ascii="宋体" w:hAnsi="宋体" w:cs="宋体"/>
                <w:szCs w:val="21"/>
              </w:rPr>
              <w:br w:type="textWrapping"/>
            </w:r>
            <w:r>
              <w:rPr>
                <w:rFonts w:hint="eastAsia" w:ascii="宋体" w:hAnsi="宋体" w:cs="宋体"/>
                <w:szCs w:val="21"/>
              </w:rPr>
              <w:t>（1）高压板模块：可实时显示电池包放电电流、充电电流、总电压、绝缘电阻值、SOC值、电池包最高电压组、电池包最低电压组、电压差、电池组平均电压、充电机充电状态等信息，界面配有指针显示表和电池包电量显示动画。</w:t>
            </w:r>
            <w:r>
              <w:rPr>
                <w:rFonts w:hint="eastAsia" w:ascii="宋体" w:hAnsi="宋体" w:cs="宋体"/>
                <w:szCs w:val="21"/>
              </w:rPr>
              <w:br w:type="textWrapping"/>
            </w:r>
            <w:r>
              <w:rPr>
                <w:rFonts w:hint="eastAsia" w:ascii="宋体" w:hAnsi="宋体" w:cs="宋体"/>
                <w:szCs w:val="21"/>
              </w:rPr>
              <w:t>（2）电池包模块：可实时显示电池包内所有温度传感器数值并列出最高温度值和最低温度值。</w:t>
            </w:r>
            <w:r>
              <w:rPr>
                <w:rFonts w:hint="eastAsia" w:ascii="宋体" w:hAnsi="宋体" w:cs="宋体"/>
                <w:szCs w:val="21"/>
              </w:rPr>
              <w:br w:type="textWrapping"/>
            </w:r>
            <w:r>
              <w:rPr>
                <w:rFonts w:hint="eastAsia" w:ascii="宋体" w:hAnsi="宋体" w:cs="宋体"/>
                <w:szCs w:val="21"/>
              </w:rPr>
              <w:t>（3）电池电压模块：实时显示电池包内2个电池组中单体电池电压值，每个电池组下方列出电池组的电压平均值，使用红色条框标识出每个电池组中最大电压值，使用蓝色条框标识出每个电池组中最小电压值，使用红色圆点标识出每个电池组中处于均衡状态的单体电池。</w:t>
            </w:r>
            <w:r>
              <w:rPr>
                <w:rFonts w:hint="eastAsia" w:ascii="宋体" w:hAnsi="宋体" w:cs="宋体"/>
                <w:szCs w:val="21"/>
              </w:rPr>
              <w:br w:type="textWrapping"/>
            </w:r>
            <w:r>
              <w:rPr>
                <w:rFonts w:hint="eastAsia" w:ascii="宋体" w:hAnsi="宋体" w:cs="宋体"/>
                <w:szCs w:val="21"/>
              </w:rPr>
              <w:t>（4）HBMU配置模块：可下载出现有BMU中的版本信息、电池编号、温度传感器编号、电池组板号、故障信息、充电机工作设置、充电机配置信息、预充设置、电池容量、单体电池过压报警阈值、短路电流报警阈值等71项内容。为方便教学及对BMS学习系统特定开放了部分可设定选项如单体电池欠压报警一级阈值、总电压欠压报警阈值、SOC过低报警阈值、单体动态电压差报警阈值、系统温度差报警阈值。</w:t>
            </w:r>
            <w:r>
              <w:rPr>
                <w:rFonts w:hint="eastAsia" w:ascii="宋体" w:hAnsi="宋体" w:cs="宋体"/>
                <w:szCs w:val="21"/>
              </w:rPr>
              <w:br w:type="textWrapping"/>
            </w:r>
            <w:r>
              <w:rPr>
                <w:rFonts w:hint="eastAsia" w:ascii="宋体" w:hAnsi="宋体" w:cs="宋体"/>
                <w:szCs w:val="21"/>
              </w:rPr>
              <w:t>（5）通讯故障模块：可实时显示电池组中各模块间通讯状态如电池组通讯状态、HMU通讯状态、充电机通讯状态、HVU通讯状态等，正常通讯时均显示为绿色有故障状态下显示为红色。</w:t>
            </w:r>
            <w:r>
              <w:rPr>
                <w:rFonts w:hint="eastAsia" w:ascii="宋体" w:hAnsi="宋体" w:cs="宋体"/>
                <w:szCs w:val="21"/>
              </w:rPr>
              <w:br w:type="textWrapping"/>
            </w:r>
            <w:r>
              <w:rPr>
                <w:rFonts w:hint="eastAsia" w:ascii="宋体" w:hAnsi="宋体" w:cs="宋体"/>
                <w:szCs w:val="21"/>
              </w:rPr>
              <w:t>五、教学及实训项目：</w:t>
            </w:r>
            <w:r>
              <w:rPr>
                <w:rFonts w:hint="eastAsia" w:ascii="宋体" w:hAnsi="宋体" w:cs="宋体"/>
                <w:szCs w:val="21"/>
              </w:rPr>
              <w:br w:type="textWrapping"/>
            </w:r>
            <w:r>
              <w:rPr>
                <w:rFonts w:hint="eastAsia" w:ascii="宋体" w:hAnsi="宋体" w:cs="宋体"/>
                <w:szCs w:val="21"/>
              </w:rPr>
              <w:t>1.高压电池包结构组装教学。</w:t>
            </w:r>
            <w:r>
              <w:rPr>
                <w:rFonts w:hint="eastAsia" w:ascii="宋体" w:hAnsi="宋体" w:cs="宋体"/>
                <w:szCs w:val="21"/>
              </w:rPr>
              <w:br w:type="textWrapping"/>
            </w:r>
            <w:r>
              <w:rPr>
                <w:rFonts w:hint="eastAsia" w:ascii="宋体" w:hAnsi="宋体" w:cs="宋体"/>
                <w:szCs w:val="21"/>
              </w:rPr>
              <w:t>2.高压电池包上下电逻辑原理。</w:t>
            </w:r>
            <w:r>
              <w:rPr>
                <w:rFonts w:hint="eastAsia" w:ascii="宋体" w:hAnsi="宋体" w:cs="宋体"/>
                <w:szCs w:val="21"/>
              </w:rPr>
              <w:br w:type="textWrapping"/>
            </w:r>
            <w:r>
              <w:rPr>
                <w:rFonts w:hint="eastAsia" w:ascii="宋体" w:hAnsi="宋体" w:cs="宋体"/>
                <w:szCs w:val="21"/>
              </w:rPr>
              <w:t>3.高压电池包的充放电原理。</w:t>
            </w:r>
            <w:r>
              <w:rPr>
                <w:rFonts w:hint="eastAsia" w:ascii="宋体" w:hAnsi="宋体" w:cs="宋体"/>
                <w:szCs w:val="21"/>
              </w:rPr>
              <w:br w:type="textWrapping"/>
            </w:r>
            <w:r>
              <w:rPr>
                <w:rFonts w:hint="eastAsia" w:ascii="宋体" w:hAnsi="宋体" w:cs="宋体"/>
                <w:szCs w:val="21"/>
              </w:rPr>
              <w:t>4.高压电池包绝缘检测。</w:t>
            </w:r>
            <w:r>
              <w:rPr>
                <w:rFonts w:hint="eastAsia" w:ascii="宋体" w:hAnsi="宋体" w:cs="宋体"/>
                <w:szCs w:val="21"/>
              </w:rPr>
              <w:br w:type="textWrapping"/>
            </w:r>
            <w:r>
              <w:rPr>
                <w:rFonts w:hint="eastAsia" w:ascii="宋体" w:hAnsi="宋体" w:cs="宋体"/>
                <w:szCs w:val="21"/>
              </w:rPr>
              <w:t>5.锂电池特性测量教学。</w:t>
            </w:r>
            <w:r>
              <w:rPr>
                <w:rFonts w:hint="eastAsia" w:ascii="宋体" w:hAnsi="宋体" w:cs="宋体"/>
                <w:szCs w:val="21"/>
              </w:rPr>
              <w:br w:type="textWrapping"/>
            </w:r>
            <w:r>
              <w:rPr>
                <w:rFonts w:hint="eastAsia" w:ascii="宋体" w:hAnsi="宋体" w:cs="宋体"/>
                <w:szCs w:val="21"/>
              </w:rPr>
              <w:t>6.BMS电池管理系统均衡工作原理。</w:t>
            </w:r>
            <w:r>
              <w:rPr>
                <w:rFonts w:hint="eastAsia" w:ascii="宋体" w:hAnsi="宋体" w:cs="宋体"/>
                <w:szCs w:val="21"/>
              </w:rPr>
              <w:br w:type="textWrapping"/>
            </w:r>
            <w:r>
              <w:rPr>
                <w:rFonts w:hint="eastAsia" w:ascii="宋体" w:hAnsi="宋体" w:cs="宋体"/>
                <w:szCs w:val="21"/>
              </w:rPr>
              <w:t>7.BMS电池管理系统功能参数标定。</w:t>
            </w:r>
            <w:r>
              <w:rPr>
                <w:rFonts w:hint="eastAsia" w:ascii="宋体" w:hAnsi="宋体" w:cs="宋体"/>
                <w:szCs w:val="21"/>
              </w:rPr>
              <w:br w:type="textWrapping"/>
            </w:r>
            <w:r>
              <w:rPr>
                <w:rFonts w:hint="eastAsia" w:ascii="宋体" w:hAnsi="宋体" w:cs="宋体"/>
                <w:szCs w:val="21"/>
              </w:rPr>
              <w:t>8.BMS电池管理系统控制原理。</w:t>
            </w:r>
          </w:p>
        </w:tc>
        <w:tc>
          <w:tcPr>
            <w:tcW w:w="357" w:type="pct"/>
            <w:vAlign w:val="center"/>
          </w:tcPr>
          <w:p w14:paraId="5A761B11">
            <w:pPr>
              <w:jc w:val="center"/>
              <w:rPr>
                <w:rFonts w:hint="eastAsia" w:ascii="宋体" w:hAnsi="宋体" w:cs="宋体"/>
                <w:szCs w:val="21"/>
                <w:lang w:val="zh-CN"/>
              </w:rPr>
            </w:pPr>
            <w:r>
              <w:rPr>
                <w:rFonts w:hint="eastAsia" w:ascii="宋体" w:hAnsi="宋体" w:cs="宋体"/>
                <w:szCs w:val="21"/>
              </w:rPr>
              <w:t>1</w:t>
            </w:r>
          </w:p>
        </w:tc>
        <w:tc>
          <w:tcPr>
            <w:tcW w:w="341" w:type="pct"/>
            <w:vAlign w:val="center"/>
          </w:tcPr>
          <w:p w14:paraId="7FF9310A">
            <w:pPr>
              <w:jc w:val="center"/>
              <w:rPr>
                <w:rFonts w:hint="eastAsia" w:ascii="宋体" w:hAnsi="宋体" w:cs="宋体"/>
                <w:szCs w:val="21"/>
              </w:rPr>
            </w:pPr>
            <w:r>
              <w:rPr>
                <w:rFonts w:hint="eastAsia" w:ascii="宋体" w:hAnsi="宋体" w:cs="宋体"/>
                <w:szCs w:val="21"/>
              </w:rPr>
              <w:t>套</w:t>
            </w:r>
          </w:p>
        </w:tc>
      </w:tr>
      <w:tr w14:paraId="181035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trHeight w:val="543" w:hRule="atLeast"/>
        </w:trPr>
        <w:tc>
          <w:tcPr>
            <w:tcW w:w="193" w:type="pct"/>
            <w:vAlign w:val="center"/>
          </w:tcPr>
          <w:p w14:paraId="1A0B34E3">
            <w:pPr>
              <w:jc w:val="center"/>
              <w:rPr>
                <w:rFonts w:hint="eastAsia" w:ascii="宋体" w:hAnsi="宋体" w:cs="宋体"/>
                <w:b/>
                <w:bCs/>
                <w:szCs w:val="21"/>
              </w:rPr>
            </w:pPr>
            <w:r>
              <w:rPr>
                <w:rFonts w:hint="eastAsia" w:ascii="宋体" w:hAnsi="宋体" w:cs="宋体"/>
                <w:szCs w:val="21"/>
              </w:rPr>
              <w:t>8</w:t>
            </w:r>
          </w:p>
        </w:tc>
        <w:tc>
          <w:tcPr>
            <w:tcW w:w="536" w:type="pct"/>
            <w:vAlign w:val="center"/>
          </w:tcPr>
          <w:p w14:paraId="3AF8A9CE">
            <w:pPr>
              <w:jc w:val="center"/>
              <w:rPr>
                <w:rFonts w:hint="eastAsia" w:ascii="宋体" w:hAnsi="宋体" w:cs="宋体"/>
                <w:szCs w:val="21"/>
              </w:rPr>
            </w:pPr>
            <w:r>
              <w:rPr>
                <w:rFonts w:hint="eastAsia" w:ascii="宋体" w:hAnsi="宋体" w:cs="宋体"/>
                <w:szCs w:val="21"/>
              </w:rPr>
              <w:t>电池包组装实训台智能化教学系统</w:t>
            </w:r>
          </w:p>
        </w:tc>
        <w:tc>
          <w:tcPr>
            <w:tcW w:w="3571" w:type="pct"/>
            <w:vAlign w:val="center"/>
          </w:tcPr>
          <w:p w14:paraId="7097064B">
            <w:pPr>
              <w:pStyle w:val="17"/>
              <w:shd w:val="clear" w:color="auto" w:fill="FFFFFF"/>
              <w:ind w:left="105" w:leftChars="50"/>
              <w:rPr>
                <w:rFonts w:hint="eastAsia" w:ascii="宋体" w:hAnsi="宋体" w:cs="宋体"/>
                <w:kern w:val="2"/>
                <w:sz w:val="21"/>
                <w:szCs w:val="21"/>
              </w:rPr>
            </w:pPr>
            <w:r>
              <w:rPr>
                <w:rFonts w:hint="eastAsia" w:ascii="宋体" w:hAnsi="宋体" w:cs="宋体"/>
                <w:sz w:val="21"/>
                <w:szCs w:val="21"/>
              </w:rPr>
              <w:t>一、软件要求：</w:t>
            </w:r>
            <w:r>
              <w:rPr>
                <w:rFonts w:hint="eastAsia" w:ascii="宋体" w:hAnsi="宋体" w:cs="宋体"/>
                <w:sz w:val="21"/>
                <w:szCs w:val="21"/>
              </w:rPr>
              <w:br w:type="textWrapping"/>
            </w:r>
            <w:r>
              <w:rPr>
                <w:rFonts w:hint="eastAsia" w:ascii="宋体" w:hAnsi="宋体" w:cs="宋体"/>
                <w:sz w:val="21"/>
                <w:szCs w:val="21"/>
              </w:rPr>
              <w:t>采用C/S架构开发，软件为单机版。该软件结合教学硬件配套开发，需与下位机同步实现。技术平台配置可视化图文界面，可实时采集下位机硬件的动态数据，对电池管理系统进行参数设置。便于学生对电池包组装实训设备知识的掌握和了解。</w:t>
            </w:r>
            <w:r>
              <w:rPr>
                <w:rFonts w:hint="eastAsia" w:ascii="宋体" w:hAnsi="宋体" w:cs="宋体"/>
                <w:sz w:val="21"/>
                <w:szCs w:val="21"/>
              </w:rPr>
              <w:br w:type="textWrapping"/>
            </w:r>
            <w:r>
              <w:rPr>
                <w:rFonts w:hint="eastAsia" w:ascii="宋体" w:hAnsi="宋体" w:cs="宋体"/>
                <w:sz w:val="21"/>
                <w:szCs w:val="21"/>
              </w:rPr>
              <w:t>二、技术要求：</w:t>
            </w:r>
            <w:r>
              <w:rPr>
                <w:rFonts w:hint="eastAsia" w:ascii="宋体" w:hAnsi="宋体" w:cs="宋体"/>
                <w:sz w:val="21"/>
                <w:szCs w:val="21"/>
              </w:rPr>
              <w:br w:type="textWrapping"/>
            </w:r>
            <w:r>
              <w:rPr>
                <w:rFonts w:hint="eastAsia" w:ascii="宋体" w:hAnsi="宋体" w:cs="宋体"/>
                <w:sz w:val="21"/>
                <w:szCs w:val="21"/>
              </w:rPr>
              <w:t>1.CPU: Intel(R) Core(TM)i3-7100T以上</w:t>
            </w:r>
            <w:r>
              <w:rPr>
                <w:rFonts w:hint="eastAsia" w:ascii="宋体" w:hAnsi="宋体" w:cs="宋体"/>
                <w:sz w:val="21"/>
                <w:szCs w:val="21"/>
              </w:rPr>
              <w:br w:type="textWrapping"/>
            </w:r>
            <w:r>
              <w:rPr>
                <w:rFonts w:hint="eastAsia" w:ascii="宋体" w:hAnsi="宋体" w:cs="宋体"/>
                <w:sz w:val="21"/>
                <w:szCs w:val="21"/>
              </w:rPr>
              <w:t>2.内存：DDR3 4G 以上</w:t>
            </w:r>
            <w:r>
              <w:rPr>
                <w:rFonts w:hint="eastAsia" w:ascii="宋体" w:hAnsi="宋体" w:cs="宋体"/>
                <w:sz w:val="21"/>
                <w:szCs w:val="21"/>
              </w:rPr>
              <w:br w:type="textWrapping"/>
            </w:r>
            <w:r>
              <w:rPr>
                <w:rFonts w:hint="eastAsia" w:ascii="宋体" w:hAnsi="宋体" w:cs="宋体"/>
                <w:sz w:val="21"/>
                <w:szCs w:val="21"/>
              </w:rPr>
              <w:t>3.操作系统：Windows 7  64bit 以上</w:t>
            </w:r>
            <w:r>
              <w:rPr>
                <w:rFonts w:hint="eastAsia" w:ascii="宋体" w:hAnsi="宋体" w:cs="宋体"/>
                <w:sz w:val="21"/>
                <w:szCs w:val="21"/>
              </w:rPr>
              <w:br w:type="textWrapping"/>
            </w:r>
            <w:r>
              <w:rPr>
                <w:rFonts w:hint="eastAsia" w:ascii="宋体" w:hAnsi="宋体" w:cs="宋体"/>
                <w:sz w:val="21"/>
                <w:szCs w:val="21"/>
              </w:rPr>
              <w:t>4.硬盘：20G以上</w:t>
            </w:r>
            <w:r>
              <w:rPr>
                <w:rFonts w:hint="eastAsia" w:ascii="宋体" w:hAnsi="宋体" w:cs="宋体"/>
                <w:sz w:val="21"/>
                <w:szCs w:val="21"/>
              </w:rPr>
              <w:br w:type="textWrapping"/>
            </w:r>
            <w:r>
              <w:rPr>
                <w:rFonts w:hint="eastAsia" w:ascii="宋体" w:hAnsi="宋体" w:cs="宋体"/>
                <w:sz w:val="21"/>
                <w:szCs w:val="21"/>
              </w:rPr>
              <w:t>5.屏幕分辨率：1920X1080</w:t>
            </w:r>
            <w:r>
              <w:rPr>
                <w:rFonts w:hint="eastAsia" w:ascii="宋体" w:hAnsi="宋体" w:cs="宋体"/>
                <w:sz w:val="21"/>
                <w:szCs w:val="21"/>
              </w:rPr>
              <w:br w:type="textWrapping"/>
            </w:r>
            <w:r>
              <w:rPr>
                <w:rFonts w:hint="eastAsia" w:ascii="宋体" w:hAnsi="宋体" w:cs="宋体"/>
                <w:sz w:val="21"/>
                <w:szCs w:val="21"/>
              </w:rPr>
              <w:t>三、功能要求：</w:t>
            </w:r>
            <w:r>
              <w:rPr>
                <w:rFonts w:hint="eastAsia" w:ascii="宋体" w:hAnsi="宋体" w:cs="宋体"/>
                <w:sz w:val="21"/>
                <w:szCs w:val="21"/>
              </w:rPr>
              <w:br w:type="textWrapping"/>
            </w:r>
            <w:r>
              <w:rPr>
                <w:rFonts w:hint="eastAsia" w:ascii="宋体" w:hAnsi="宋体" w:cs="宋体"/>
                <w:sz w:val="21"/>
                <w:szCs w:val="21"/>
              </w:rPr>
              <w:t>该软件配置可视化图文界面，可实时采集电池管理系统的动态数据和对电池管理系统进行参数设置，并支持对电池管理系统更新升级和关键数据保存打印功能。</w:t>
            </w:r>
            <w:r>
              <w:rPr>
                <w:rFonts w:hint="eastAsia" w:ascii="宋体" w:hAnsi="宋体" w:cs="宋体"/>
                <w:sz w:val="21"/>
                <w:szCs w:val="21"/>
              </w:rPr>
              <w:br w:type="textWrapping"/>
            </w:r>
            <w:r>
              <w:rPr>
                <w:rFonts w:hint="eastAsia" w:ascii="宋体" w:hAnsi="宋体" w:cs="宋体"/>
                <w:sz w:val="21"/>
                <w:szCs w:val="21"/>
              </w:rPr>
              <w:t>上位机软件主要分为7个模块，分别为：高压版模块、电池包模块、电池电压模块、HBMU配置模块、通讯故障模块、输入输出模块和实时数据模块。</w:t>
            </w:r>
            <w:r>
              <w:rPr>
                <w:rFonts w:hint="eastAsia" w:ascii="宋体" w:hAnsi="宋体" w:cs="宋体"/>
                <w:sz w:val="21"/>
                <w:szCs w:val="21"/>
              </w:rPr>
              <w:br w:type="textWrapping"/>
            </w:r>
            <w:r>
              <w:rPr>
                <w:rFonts w:hint="eastAsia" w:ascii="宋体" w:hAnsi="宋体" w:cs="宋体"/>
                <w:sz w:val="21"/>
                <w:szCs w:val="21"/>
              </w:rPr>
              <w:t>（1）高压板模块：可实时显示电池包放电电流、充电电流、总电压、绝缘电阻值、SOC值、电池包最高电压组、电池包最低电压组、电压差、电池组平均电压、充电机充电状态等信息，界面配有指针显示表和电池包电量显示动画。</w:t>
            </w:r>
            <w:r>
              <w:rPr>
                <w:rFonts w:hint="eastAsia" w:ascii="宋体" w:hAnsi="宋体" w:cs="宋体"/>
                <w:sz w:val="21"/>
                <w:szCs w:val="21"/>
              </w:rPr>
              <w:br w:type="textWrapping"/>
            </w:r>
            <w:r>
              <w:rPr>
                <w:rFonts w:hint="eastAsia" w:ascii="宋体" w:hAnsi="宋体" w:cs="宋体"/>
                <w:sz w:val="21"/>
                <w:szCs w:val="21"/>
              </w:rPr>
              <w:t>（2）电池包模块：可实时显示电池包内所有温度传感器数值并列出最高温度值和最低温度值。</w:t>
            </w:r>
            <w:r>
              <w:rPr>
                <w:rFonts w:hint="eastAsia" w:ascii="宋体" w:hAnsi="宋体" w:cs="宋体"/>
                <w:sz w:val="21"/>
                <w:szCs w:val="21"/>
              </w:rPr>
              <w:br w:type="textWrapping"/>
            </w:r>
            <w:r>
              <w:rPr>
                <w:rFonts w:hint="eastAsia" w:ascii="宋体" w:hAnsi="宋体" w:cs="宋体"/>
                <w:sz w:val="21"/>
                <w:szCs w:val="21"/>
              </w:rPr>
              <w:t>（3）电池电压模块：实时显示电池包内2个电池组中单体电池电压值，每个电池组下方列出电池组的电压平均值，使用红色条框标识出每个电池组中最大电压值，使用蓝色条框标识出每个电池组中最小电压值，使用红色圆点标识出每个电池组中处于均衡状态的单体电池。</w:t>
            </w:r>
            <w:r>
              <w:rPr>
                <w:rFonts w:hint="eastAsia" w:ascii="宋体" w:hAnsi="宋体" w:cs="宋体"/>
                <w:sz w:val="21"/>
                <w:szCs w:val="21"/>
              </w:rPr>
              <w:br w:type="textWrapping"/>
            </w:r>
            <w:r>
              <w:rPr>
                <w:rFonts w:hint="eastAsia" w:ascii="宋体" w:hAnsi="宋体" w:cs="宋体"/>
                <w:sz w:val="21"/>
                <w:szCs w:val="21"/>
              </w:rPr>
              <w:t>（4）HBMU配置模块：可下载出现有BMU中的版本信息、电池编号、温度传感器编号、电池组板号、故障信息、充电机工作设置、充电机配置信息、预充设置、电池容量、单体电池过压报警阈值、短路电流报警阈值等71项内容。为方便教学及对BMS学习系统特定开放了部分可设定选项如单体电池欠压报警一级阈值、总电压欠压报警阈值、SOC过低报警阈值、单体动态电压差报警阈值、系统温度差报警阈值。</w:t>
            </w:r>
            <w:r>
              <w:rPr>
                <w:rFonts w:hint="eastAsia" w:ascii="宋体" w:hAnsi="宋体" w:cs="宋体"/>
                <w:sz w:val="21"/>
                <w:szCs w:val="21"/>
              </w:rPr>
              <w:br w:type="textWrapping"/>
            </w:r>
            <w:r>
              <w:rPr>
                <w:rFonts w:hint="eastAsia" w:ascii="宋体" w:hAnsi="宋体" w:cs="宋体"/>
                <w:sz w:val="21"/>
                <w:szCs w:val="21"/>
              </w:rPr>
              <w:t>（5）通讯故障模块：可实时显示电池组中各模块间通讯状态如电池组通讯状态、HMU通讯状态、充电机通讯状态、HVU通讯状态等，正常通讯时均显示为绿色有故障状态下显示为红色。</w:t>
            </w:r>
            <w:r>
              <w:rPr>
                <w:rFonts w:hint="eastAsia" w:ascii="宋体" w:hAnsi="宋体" w:cs="宋体"/>
                <w:sz w:val="21"/>
                <w:szCs w:val="21"/>
              </w:rPr>
              <w:br w:type="textWrapping"/>
            </w:r>
            <w:r>
              <w:rPr>
                <w:rFonts w:hint="eastAsia" w:ascii="宋体" w:hAnsi="宋体" w:cs="宋体"/>
                <w:sz w:val="21"/>
                <w:szCs w:val="21"/>
              </w:rPr>
              <w:t>四、实训要求</w:t>
            </w:r>
            <w:r>
              <w:rPr>
                <w:rFonts w:hint="eastAsia" w:ascii="宋体" w:hAnsi="宋体" w:cs="宋体"/>
                <w:sz w:val="21"/>
                <w:szCs w:val="21"/>
              </w:rPr>
              <w:br w:type="textWrapping"/>
            </w:r>
            <w:r>
              <w:rPr>
                <w:rFonts w:hint="eastAsia" w:ascii="宋体" w:hAnsi="宋体" w:cs="宋体"/>
                <w:sz w:val="21"/>
                <w:szCs w:val="21"/>
              </w:rPr>
              <w:t>1.高压电池包绝缘检测；</w:t>
            </w:r>
            <w:r>
              <w:rPr>
                <w:rFonts w:hint="eastAsia" w:ascii="宋体" w:hAnsi="宋体" w:cs="宋体"/>
                <w:sz w:val="21"/>
                <w:szCs w:val="21"/>
              </w:rPr>
              <w:br w:type="textWrapping"/>
            </w:r>
            <w:r>
              <w:rPr>
                <w:rFonts w:hint="eastAsia" w:ascii="宋体" w:hAnsi="宋体" w:cs="宋体"/>
                <w:sz w:val="21"/>
                <w:szCs w:val="21"/>
              </w:rPr>
              <w:t>2.锂电池特性测量；</w:t>
            </w:r>
            <w:r>
              <w:rPr>
                <w:rFonts w:hint="eastAsia" w:ascii="宋体" w:hAnsi="宋体" w:cs="宋体"/>
                <w:sz w:val="21"/>
                <w:szCs w:val="21"/>
              </w:rPr>
              <w:br w:type="textWrapping"/>
            </w:r>
            <w:r>
              <w:rPr>
                <w:rFonts w:hint="eastAsia" w:ascii="宋体" w:hAnsi="宋体" w:cs="宋体"/>
                <w:sz w:val="21"/>
                <w:szCs w:val="21"/>
              </w:rPr>
              <w:t>3.BMS电池管理系统功能参数标定。</w:t>
            </w:r>
            <w:r>
              <w:rPr>
                <w:rFonts w:hint="eastAsia" w:ascii="宋体" w:hAnsi="宋体" w:cs="宋体"/>
                <w:sz w:val="21"/>
                <w:szCs w:val="21"/>
              </w:rPr>
              <w:br w:type="textWrapping"/>
            </w:r>
            <w:r>
              <w:rPr>
                <w:rFonts w:hint="eastAsia" w:ascii="宋体" w:hAnsi="宋体" w:cs="宋体"/>
                <w:sz w:val="21"/>
                <w:szCs w:val="21"/>
              </w:rPr>
              <w:t>五、电池包组装实训台实训指导书技术要求：</w:t>
            </w:r>
            <w:r>
              <w:rPr>
                <w:rFonts w:hint="eastAsia" w:ascii="宋体" w:hAnsi="宋体" w:cs="宋体"/>
                <w:sz w:val="21"/>
                <w:szCs w:val="21"/>
              </w:rPr>
              <w:br w:type="textWrapping"/>
            </w:r>
            <w:r>
              <w:rPr>
                <w:rFonts w:hint="eastAsia" w:ascii="宋体" w:hAnsi="宋体" w:cs="宋体"/>
                <w:sz w:val="21"/>
                <w:szCs w:val="21"/>
              </w:rPr>
              <w:t>1、通过图文展示描述的方式，对电池包的各个零部件的位置、工作原理和典型故障分析。本书通过设置5个学习任务，任务涵盖单体电池的检测、电池组的组装、BMS系统调试、BMS系统传感器检测和电池系统故障诊断等多个系统，可使学生充分学习理解电动汽车的组成和工作过程。</w:t>
            </w:r>
            <w:r>
              <w:rPr>
                <w:rFonts w:hint="eastAsia" w:ascii="宋体" w:hAnsi="宋体" w:cs="宋体"/>
                <w:sz w:val="21"/>
                <w:szCs w:val="21"/>
              </w:rPr>
              <w:br w:type="textWrapping"/>
            </w:r>
            <w:r>
              <w:rPr>
                <w:rFonts w:hint="eastAsia" w:ascii="宋体" w:hAnsi="宋体" w:cs="宋体"/>
                <w:sz w:val="21"/>
                <w:szCs w:val="21"/>
              </w:rPr>
              <w:t>2、每个学习任务开篇标有此任务的学习目标，和建议学时，方便教师把控在教学过程中对重难点内容的讲解和对课程时间分配的掌握。</w:t>
            </w:r>
            <w:r>
              <w:rPr>
                <w:rFonts w:hint="eastAsia" w:ascii="宋体" w:hAnsi="宋体" w:cs="宋体"/>
                <w:sz w:val="21"/>
                <w:szCs w:val="21"/>
              </w:rPr>
              <w:br w:type="textWrapping"/>
            </w:r>
            <w:r>
              <w:rPr>
                <w:rFonts w:hint="eastAsia" w:ascii="宋体" w:hAnsi="宋体" w:cs="宋体"/>
                <w:sz w:val="21"/>
                <w:szCs w:val="21"/>
              </w:rPr>
              <w:t>3、每个任务的“学习拓展”板块，采用文字、图片和表格的形式对知识点进行讲解，从技术的历史由来，到当前流行通用的技术进行原理展示和线路图分析。对当前教学任务的重点难点进行详尽的分析描述之外，还对和此部件所相关的知识内容进行扩展。让学生在学习完课内的知识内容外，还额外的掌握了更加有深度的内容，对打开学生思维、引导学生进行思考，提高学生的学习热情。</w:t>
            </w:r>
            <w:r>
              <w:rPr>
                <w:rFonts w:hint="eastAsia" w:ascii="宋体" w:hAnsi="宋体" w:cs="宋体"/>
                <w:sz w:val="21"/>
                <w:szCs w:val="21"/>
              </w:rPr>
              <w:br w:type="textWrapping"/>
            </w:r>
            <w:r>
              <w:rPr>
                <w:rFonts w:hint="eastAsia" w:ascii="宋体" w:hAnsi="宋体" w:cs="宋体"/>
                <w:sz w:val="21"/>
                <w:szCs w:val="21"/>
              </w:rPr>
              <w:t>4、在对理论内容讲解完成后，还设置了课程实训版块，版块内采用文字、图片和表格的形式对所学内容进行实训。图片采用实车、实表拍摄，保证图片内容和教学过程中所使用的教学设备完全相同，充分还原了学生在实训时需要测量插头接口和测量的数据。引领学生在实践操作中找到故障并对故障进行排除。并且可以学会正确穿戴防护设备和工具的使用。</w:t>
            </w:r>
            <w:r>
              <w:rPr>
                <w:rFonts w:hint="eastAsia" w:ascii="宋体" w:hAnsi="宋体" w:cs="宋体"/>
                <w:sz w:val="21"/>
                <w:szCs w:val="21"/>
              </w:rPr>
              <w:br w:type="textWrapping"/>
            </w:r>
            <w:r>
              <w:rPr>
                <w:rFonts w:hint="eastAsia" w:ascii="宋体" w:hAnsi="宋体" w:cs="宋体"/>
                <w:sz w:val="21"/>
                <w:szCs w:val="21"/>
              </w:rPr>
              <w:t>5、章节最后的自测题可以帮助学生巩固课上所学习的内容，并对课上的重难点内容进行复习，形成课前预习-课上学习-课后复习的完整的学习链。</w:t>
            </w:r>
          </w:p>
        </w:tc>
        <w:tc>
          <w:tcPr>
            <w:tcW w:w="357" w:type="pct"/>
            <w:vAlign w:val="center"/>
          </w:tcPr>
          <w:p w14:paraId="6CD96FDE">
            <w:pPr>
              <w:jc w:val="center"/>
              <w:rPr>
                <w:rFonts w:hint="eastAsia" w:ascii="宋体" w:hAnsi="宋体" w:cs="宋体"/>
                <w:szCs w:val="21"/>
              </w:rPr>
            </w:pPr>
            <w:r>
              <w:rPr>
                <w:rFonts w:hint="eastAsia" w:ascii="宋体" w:hAnsi="宋体" w:cs="宋体"/>
                <w:szCs w:val="21"/>
              </w:rPr>
              <w:t>1</w:t>
            </w:r>
          </w:p>
        </w:tc>
        <w:tc>
          <w:tcPr>
            <w:tcW w:w="341" w:type="pct"/>
            <w:vAlign w:val="center"/>
          </w:tcPr>
          <w:p w14:paraId="6CA584F7">
            <w:pPr>
              <w:jc w:val="center"/>
              <w:rPr>
                <w:rFonts w:hint="eastAsia" w:ascii="宋体" w:hAnsi="宋体" w:cs="宋体"/>
                <w:szCs w:val="21"/>
              </w:rPr>
            </w:pPr>
          </w:p>
          <w:p w14:paraId="24EAF889">
            <w:pPr>
              <w:jc w:val="center"/>
              <w:rPr>
                <w:rFonts w:hint="eastAsia" w:ascii="宋体" w:hAnsi="宋体" w:cs="宋体"/>
                <w:szCs w:val="21"/>
              </w:rPr>
            </w:pPr>
          </w:p>
          <w:p w14:paraId="654D5C89">
            <w:pPr>
              <w:jc w:val="center"/>
              <w:rPr>
                <w:rFonts w:hint="eastAsia" w:ascii="宋体" w:hAnsi="宋体" w:cs="宋体"/>
                <w:szCs w:val="21"/>
              </w:rPr>
            </w:pPr>
          </w:p>
          <w:p w14:paraId="63E3D985">
            <w:pPr>
              <w:jc w:val="center"/>
              <w:rPr>
                <w:rFonts w:hint="eastAsia" w:ascii="宋体" w:hAnsi="宋体" w:cs="宋体"/>
                <w:szCs w:val="21"/>
              </w:rPr>
            </w:pPr>
          </w:p>
          <w:p w14:paraId="371CB6C8">
            <w:pPr>
              <w:jc w:val="center"/>
              <w:rPr>
                <w:rFonts w:hint="eastAsia" w:ascii="宋体" w:hAnsi="宋体" w:cs="宋体"/>
                <w:szCs w:val="21"/>
              </w:rPr>
            </w:pPr>
            <w:r>
              <w:rPr>
                <w:rFonts w:hint="eastAsia" w:ascii="宋体" w:hAnsi="宋体" w:cs="宋体"/>
                <w:szCs w:val="21"/>
              </w:rPr>
              <w:t>套</w:t>
            </w:r>
          </w:p>
          <w:p w14:paraId="639CECF9">
            <w:pPr>
              <w:jc w:val="center"/>
              <w:rPr>
                <w:rFonts w:hint="eastAsia" w:ascii="宋体" w:hAnsi="宋体" w:cs="宋体"/>
                <w:szCs w:val="21"/>
              </w:rPr>
            </w:pPr>
          </w:p>
          <w:p w14:paraId="163BEFE4">
            <w:pPr>
              <w:jc w:val="center"/>
              <w:rPr>
                <w:rFonts w:hint="eastAsia" w:ascii="宋体" w:hAnsi="宋体" w:cs="宋体"/>
                <w:szCs w:val="21"/>
              </w:rPr>
            </w:pPr>
          </w:p>
          <w:p w14:paraId="146EB2BB">
            <w:pPr>
              <w:jc w:val="center"/>
              <w:rPr>
                <w:rFonts w:hint="eastAsia" w:ascii="宋体" w:hAnsi="宋体" w:cs="宋体"/>
                <w:szCs w:val="21"/>
              </w:rPr>
            </w:pPr>
          </w:p>
          <w:p w14:paraId="75CB6C8C">
            <w:pPr>
              <w:jc w:val="center"/>
              <w:rPr>
                <w:rFonts w:hint="eastAsia" w:ascii="宋体" w:hAnsi="宋体" w:cs="宋体"/>
                <w:szCs w:val="21"/>
              </w:rPr>
            </w:pPr>
          </w:p>
        </w:tc>
      </w:tr>
      <w:tr w14:paraId="008B8E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trHeight w:val="704" w:hRule="atLeast"/>
        </w:trPr>
        <w:tc>
          <w:tcPr>
            <w:tcW w:w="193" w:type="pct"/>
            <w:vAlign w:val="center"/>
          </w:tcPr>
          <w:p w14:paraId="40CF95FA">
            <w:pPr>
              <w:jc w:val="center"/>
              <w:rPr>
                <w:rFonts w:hint="eastAsia" w:ascii="宋体" w:hAnsi="宋体" w:cs="宋体"/>
                <w:b/>
                <w:bCs/>
                <w:szCs w:val="21"/>
              </w:rPr>
            </w:pPr>
            <w:r>
              <w:rPr>
                <w:rFonts w:hint="eastAsia" w:ascii="宋体" w:hAnsi="宋体" w:cs="宋体"/>
                <w:szCs w:val="21"/>
              </w:rPr>
              <w:t>9</w:t>
            </w:r>
          </w:p>
        </w:tc>
        <w:tc>
          <w:tcPr>
            <w:tcW w:w="536" w:type="pct"/>
            <w:vAlign w:val="center"/>
          </w:tcPr>
          <w:p w14:paraId="76B96D63">
            <w:pPr>
              <w:jc w:val="center"/>
              <w:rPr>
                <w:rFonts w:hint="eastAsia" w:ascii="宋体" w:hAnsi="宋体" w:cs="宋体"/>
                <w:kern w:val="0"/>
                <w:szCs w:val="21"/>
              </w:rPr>
            </w:pPr>
            <w:r>
              <w:rPr>
                <w:rFonts w:hint="eastAsia" w:ascii="宋体" w:hAnsi="宋体" w:cs="宋体"/>
                <w:szCs w:val="21"/>
              </w:rPr>
              <w:t>交互式高压配电实训系统</w:t>
            </w:r>
          </w:p>
        </w:tc>
        <w:tc>
          <w:tcPr>
            <w:tcW w:w="3571" w:type="pct"/>
            <w:vAlign w:val="center"/>
          </w:tcPr>
          <w:p w14:paraId="42A65970">
            <w:pPr>
              <w:ind w:left="105" w:leftChars="50"/>
              <w:jc w:val="left"/>
              <w:rPr>
                <w:rFonts w:hint="eastAsia" w:ascii="宋体" w:hAnsi="宋体" w:cs="宋体"/>
                <w:kern w:val="0"/>
                <w:szCs w:val="21"/>
              </w:rPr>
            </w:pPr>
            <w:r>
              <w:rPr>
                <w:rFonts w:hint="eastAsia" w:ascii="宋体" w:hAnsi="宋体" w:cs="宋体"/>
                <w:szCs w:val="21"/>
              </w:rPr>
              <w:t xml:space="preserve">一、产品组成要求： </w:t>
            </w:r>
            <w:r>
              <w:rPr>
                <w:rFonts w:hint="eastAsia" w:ascii="宋体" w:hAnsi="宋体" w:cs="宋体"/>
                <w:szCs w:val="21"/>
              </w:rPr>
              <w:br w:type="textWrapping"/>
            </w:r>
            <w:r>
              <w:rPr>
                <w:rFonts w:hint="eastAsia" w:ascii="宋体" w:hAnsi="宋体" w:cs="宋体"/>
                <w:szCs w:val="21"/>
              </w:rPr>
              <w:t>1、操作面板：原理图检测面板、点火开关、急停开关、高压配电箱、交流充电桩、空气开关、调速旋钮、高压检测孔、高压护锁检测孔、高压维修开关、交流充电插座用于供电及接地检测，整体电网供电都采用低压交流36V，防止学生在测量过程中产生触电危险；</w:t>
            </w:r>
            <w:r>
              <w:rPr>
                <w:rFonts w:hint="eastAsia" w:ascii="宋体" w:hAnsi="宋体" w:cs="宋体"/>
                <w:szCs w:val="21"/>
              </w:rPr>
              <w:br w:type="textWrapping"/>
            </w:r>
            <w:r>
              <w:rPr>
                <w:rFonts w:hint="eastAsia" w:ascii="宋体" w:hAnsi="宋体" w:cs="宋体"/>
                <w:szCs w:val="21"/>
              </w:rPr>
              <w:t>2、台架：ABS吸塑工艺壳体、抽屉桌面、万向锁止脚轮；</w:t>
            </w:r>
            <w:r>
              <w:rPr>
                <w:rFonts w:hint="eastAsia" w:ascii="宋体" w:hAnsi="宋体" w:cs="宋体"/>
                <w:szCs w:val="21"/>
              </w:rPr>
              <w:br w:type="textWrapping"/>
            </w:r>
            <w:r>
              <w:rPr>
                <w:rFonts w:hint="eastAsia" w:ascii="宋体" w:hAnsi="宋体" w:cs="宋体"/>
                <w:szCs w:val="21"/>
              </w:rPr>
              <w:t>3、电脑：高强度伸缩臂、21.5寸 2G内存 硬盘固态32G 电容触摸屏一体机、高压安全实训台控制软件。</w:t>
            </w:r>
            <w:r>
              <w:rPr>
                <w:rFonts w:hint="eastAsia" w:ascii="宋体" w:hAnsi="宋体" w:cs="宋体"/>
                <w:szCs w:val="21"/>
              </w:rPr>
              <w:br w:type="textWrapping"/>
            </w:r>
            <w:r>
              <w:rPr>
                <w:rFonts w:hint="eastAsia" w:ascii="宋体" w:hAnsi="宋体" w:cs="宋体"/>
                <w:szCs w:val="21"/>
              </w:rPr>
              <w:t xml:space="preserve">二、产品规格要求： </w:t>
            </w:r>
            <w:r>
              <w:rPr>
                <w:rFonts w:hint="eastAsia" w:ascii="宋体" w:hAnsi="宋体" w:cs="宋体"/>
                <w:szCs w:val="21"/>
              </w:rPr>
              <w:br w:type="textWrapping"/>
            </w:r>
            <w:r>
              <w:rPr>
                <w:rFonts w:hint="eastAsia" w:ascii="宋体" w:hAnsi="宋体" w:cs="宋体"/>
                <w:szCs w:val="21"/>
              </w:rPr>
              <w:t>台架尺寸（长*宽*高）：长（1800-1900 mm）*宽（600-700mm）*高（1900-2000 mm）</w:t>
            </w:r>
            <w:r>
              <w:rPr>
                <w:rFonts w:hint="eastAsia" w:ascii="宋体" w:hAnsi="宋体" w:cs="宋体"/>
                <w:szCs w:val="21"/>
              </w:rPr>
              <w:br w:type="textWrapping"/>
            </w:r>
            <w:r>
              <w:rPr>
                <w:rFonts w:hint="eastAsia" w:ascii="宋体" w:hAnsi="宋体" w:cs="宋体"/>
                <w:szCs w:val="21"/>
              </w:rPr>
              <w:t>三、产品功能要求：</w:t>
            </w:r>
            <w:r>
              <w:rPr>
                <w:rFonts w:hint="eastAsia" w:ascii="宋体" w:hAnsi="宋体" w:cs="宋体"/>
                <w:szCs w:val="21"/>
              </w:rPr>
              <w:br w:type="textWrapping"/>
            </w:r>
            <w:r>
              <w:rPr>
                <w:rFonts w:hint="eastAsia" w:ascii="宋体" w:hAnsi="宋体" w:cs="宋体"/>
                <w:szCs w:val="21"/>
              </w:rPr>
              <w:t>1、实训台面板上绘制出纯电动汽车高压系统连接的示意图，高压电网示意图，便于学员更加了解纯电动汽车高压系统工作原理和故障分析；</w:t>
            </w:r>
            <w:r>
              <w:rPr>
                <w:rFonts w:hint="eastAsia" w:ascii="宋体" w:hAnsi="宋体" w:cs="宋体"/>
                <w:szCs w:val="21"/>
              </w:rPr>
              <w:br w:type="textWrapping"/>
            </w:r>
            <w:r>
              <w:rPr>
                <w:rFonts w:hint="eastAsia" w:ascii="宋体" w:hAnsi="宋体" w:cs="宋体"/>
                <w:szCs w:val="21"/>
              </w:rPr>
              <w:t>2、实训台上配置高压配电箱，配线箱内安装驱动电机控制器正极接触器负极接触器、预充接触器、预充电阻、放电保险丝、空调压缩机接触器、PTC加热接触器、DC/DC供电接触器、交流充电接触器、直流充电接触器，高压配线箱内所有接触器完全按照纯电动汽车高压控制逻辑工作；</w:t>
            </w:r>
            <w:r>
              <w:rPr>
                <w:rFonts w:hint="eastAsia" w:ascii="宋体" w:hAnsi="宋体" w:cs="宋体"/>
                <w:szCs w:val="21"/>
              </w:rPr>
              <w:br w:type="textWrapping"/>
            </w:r>
            <w:r>
              <w:rPr>
                <w:rFonts w:hint="eastAsia" w:ascii="宋体" w:hAnsi="宋体" w:cs="宋体"/>
                <w:szCs w:val="21"/>
              </w:rPr>
              <w:t>3、实训面板上各条高压线均设有检测端子用于检测高压系统工作电压信号， 所有高压线路上均使用直流24V电压替代，以免在实训测量过程中发生触电危险；</w:t>
            </w:r>
            <w:r>
              <w:rPr>
                <w:rFonts w:hint="eastAsia" w:ascii="宋体" w:hAnsi="宋体" w:cs="宋体"/>
                <w:szCs w:val="21"/>
              </w:rPr>
              <w:br w:type="textWrapping"/>
            </w:r>
            <w:r>
              <w:rPr>
                <w:rFonts w:hint="eastAsia" w:ascii="宋体" w:hAnsi="宋体" w:cs="宋体"/>
                <w:szCs w:val="21"/>
              </w:rPr>
              <w:t>4、面板原理图上安装各高压控制模块高压护锁检测孔，真实展示高压护锁在高压系统中的作用；</w:t>
            </w:r>
            <w:r>
              <w:rPr>
                <w:rFonts w:hint="eastAsia" w:ascii="宋体" w:hAnsi="宋体" w:cs="宋体"/>
                <w:szCs w:val="21"/>
              </w:rPr>
              <w:br w:type="textWrapping"/>
            </w:r>
            <w:r>
              <w:rPr>
                <w:rFonts w:hint="eastAsia" w:ascii="宋体" w:hAnsi="宋体" w:cs="宋体"/>
                <w:szCs w:val="21"/>
              </w:rPr>
              <w:t>5、实训台配备一台3.3千瓦的交流充电桩并展示交流充电桩内部构造，充电桩可连接高压操作安全实训台完成交流充电工作逻辑展示及交流充电过程中高压系统信号测量；</w:t>
            </w:r>
            <w:r>
              <w:rPr>
                <w:rFonts w:hint="eastAsia" w:ascii="宋体" w:hAnsi="宋体" w:cs="宋体"/>
                <w:szCs w:val="21"/>
              </w:rPr>
              <w:br w:type="textWrapping"/>
            </w:r>
            <w:r>
              <w:rPr>
                <w:rFonts w:hint="eastAsia" w:ascii="宋体" w:hAnsi="宋体" w:cs="宋体"/>
                <w:szCs w:val="21"/>
              </w:rPr>
              <w:t>6、实训检测面板上绘制民用电网示意图在电网线路上引出检测端子，防止检测过程中发生触电危险；</w:t>
            </w:r>
            <w:r>
              <w:rPr>
                <w:rFonts w:hint="eastAsia" w:ascii="宋体" w:hAnsi="宋体" w:cs="宋体"/>
                <w:szCs w:val="21"/>
              </w:rPr>
              <w:br w:type="textWrapping"/>
            </w:r>
            <w:r>
              <w:rPr>
                <w:rFonts w:hint="eastAsia" w:ascii="宋体" w:hAnsi="宋体" w:cs="宋体"/>
                <w:szCs w:val="21"/>
              </w:rPr>
              <w:t>7、模拟电池包上安装真实MSD机械维修开关用于维修高压系统流程操作，断开MSD机械维修开关后高压安全实训系统将切断高压电，系统处于维修状态；</w:t>
            </w:r>
            <w:r>
              <w:rPr>
                <w:rFonts w:hint="eastAsia" w:ascii="宋体" w:hAnsi="宋体" w:cs="宋体"/>
                <w:szCs w:val="21"/>
              </w:rPr>
              <w:br w:type="textWrapping"/>
            </w:r>
            <w:r>
              <w:rPr>
                <w:rFonts w:hint="eastAsia" w:ascii="宋体" w:hAnsi="宋体" w:cs="宋体"/>
                <w:szCs w:val="21"/>
              </w:rPr>
              <w:t>8、电脑上安装高压安全实训台操控软件，可以和实训台联合完成上电、下电、运行、充电、空调功能演示；（投标文件中需提供上位机软件仪表显示交流充电正常的截图图片加盖投标人公章）</w:t>
            </w:r>
            <w:r>
              <w:rPr>
                <w:rFonts w:hint="eastAsia" w:ascii="宋体" w:hAnsi="宋体" w:cs="宋体"/>
                <w:szCs w:val="21"/>
              </w:rPr>
              <w:br w:type="textWrapping"/>
            </w:r>
            <w:r>
              <w:rPr>
                <w:rFonts w:hint="eastAsia" w:ascii="宋体" w:hAnsi="宋体" w:cs="宋体"/>
                <w:szCs w:val="21"/>
              </w:rPr>
              <w:t>9、双击软件“高压安全操作实训台”进入操控界面，然后点击实训台上点火开关，实训台和操控软件进行工作状态REDAY灯亮起，在操控界面下方有档位P、R、N、D档，空调制冷、PTC加热、原理展示、故障设置、直流充电、通讯信号灯RX、TX；（投标文件中需提供上位机软件P、N档位状态下高压系统工作电流走向原理图的截图图片加盖投标人公章）</w:t>
            </w:r>
            <w:r>
              <w:rPr>
                <w:rFonts w:hint="eastAsia" w:ascii="宋体" w:hAnsi="宋体" w:cs="宋体"/>
                <w:szCs w:val="21"/>
              </w:rPr>
              <w:br w:type="textWrapping"/>
            </w:r>
            <w:r>
              <w:rPr>
                <w:rFonts w:hint="eastAsia" w:ascii="宋体" w:hAnsi="宋体" w:cs="宋体"/>
                <w:szCs w:val="21"/>
              </w:rPr>
              <w:t>（1）当点击R、D档按钮后，面板的上的的驱动电机会模拟实车方式以前进、后退的方向转动，面板上旋转按钮可以调节快慢，同时可以在面板上测量工作时接触器的电压值，还可以点击操控软件中“原理展示”按钮后软件界面将跳转到R、D当前工作运行状态电流的走向；（投标文件中需提供上位机软件仪表显示D挡行驶状态下的电流走向的截图图片加盖投标人公章）</w:t>
            </w:r>
            <w:r>
              <w:rPr>
                <w:rFonts w:hint="eastAsia" w:ascii="宋体" w:hAnsi="宋体" w:cs="宋体"/>
                <w:szCs w:val="21"/>
              </w:rPr>
              <w:br w:type="textWrapping"/>
            </w:r>
            <w:r>
              <w:rPr>
                <w:rFonts w:hint="eastAsia" w:ascii="宋体" w:hAnsi="宋体" w:cs="宋体"/>
                <w:szCs w:val="21"/>
              </w:rPr>
              <w:t>（2）当点击“制冷”和“加热”按钮后，制冷或加热接触器将会工作，面板中能测到工作时的电压值，然后点击“原理展示”按钮后界面将转到制冷、加热当前工作的电流走向；（投标文件中需提供上位机软件仪表显示D挡空调制冷和制冷状态的电流走向的截图图片加盖投标人公章）</w:t>
            </w:r>
            <w:r>
              <w:rPr>
                <w:rFonts w:hint="eastAsia" w:ascii="宋体" w:hAnsi="宋体" w:cs="宋体"/>
                <w:szCs w:val="21"/>
              </w:rPr>
              <w:br w:type="textWrapping"/>
            </w:r>
            <w:r>
              <w:rPr>
                <w:rFonts w:hint="eastAsia" w:ascii="宋体" w:hAnsi="宋体" w:cs="宋体"/>
                <w:szCs w:val="21"/>
              </w:rPr>
              <w:t>（3）当点击“直流充电”按钮后，仪表界面中会模拟实车显示直流充电枪和电池符号，并且电池符号充电量在动，证明充电正常，并且在面板上能测量出直流充电时接触器电压值，然后点击“原理展示”按钮后界面将转到直流充电状态的电流走向；</w:t>
            </w:r>
            <w:r>
              <w:rPr>
                <w:rFonts w:hint="eastAsia" w:ascii="宋体" w:hAnsi="宋体" w:cs="宋体"/>
                <w:szCs w:val="21"/>
              </w:rPr>
              <w:br w:type="textWrapping"/>
            </w:r>
            <w:r>
              <w:rPr>
                <w:rFonts w:hint="eastAsia" w:ascii="宋体" w:hAnsi="宋体" w:cs="宋体"/>
                <w:szCs w:val="21"/>
              </w:rPr>
              <w:t>（4）当交流充电时，把交流充电枪插上面板上的交流充电口上，电脑仪表主界面上会显示充电枪符号，代表插枪正常，然后在实训台上配置的交流充电桩上进行刷卡，仪表上显示直流充电电池符号，并且电量符号在动，充电正常，并且在面板上可以测到交流充电接触器电压值，在点击操控软件中“原理展示”按钮后软件界面将跳转到交流充电状态工作运行状态电流的走向；</w:t>
            </w:r>
            <w:r>
              <w:rPr>
                <w:rFonts w:hint="eastAsia" w:ascii="宋体" w:hAnsi="宋体" w:cs="宋体"/>
                <w:szCs w:val="21"/>
              </w:rPr>
              <w:br w:type="textWrapping"/>
            </w:r>
            <w:r>
              <w:rPr>
                <w:rFonts w:hint="eastAsia" w:ascii="宋体" w:hAnsi="宋体" w:cs="宋体"/>
                <w:szCs w:val="21"/>
              </w:rPr>
              <w:t>10.点击操控软件中“原理展示”按钮，软件界面将跳转到实训台当前运行状态下高压系统工作电流走向原理图，切换不同工作状态所展示的高压系统工作电流走向原理图会有所不同；（投标文件中需提供上位机软件仪表显示直流充电正常和直流充电状态的电流走向的截图图片加盖投标人公章）</w:t>
            </w:r>
            <w:r>
              <w:rPr>
                <w:rFonts w:hint="eastAsia" w:ascii="宋体" w:hAnsi="宋体" w:cs="宋体"/>
                <w:szCs w:val="21"/>
              </w:rPr>
              <w:br w:type="textWrapping"/>
            </w:r>
            <w:r>
              <w:rPr>
                <w:rFonts w:hint="eastAsia" w:ascii="宋体" w:hAnsi="宋体" w:cs="宋体"/>
                <w:szCs w:val="21"/>
              </w:rPr>
              <w:t>11在操作软件点击故障设置按钮，将会转到故障设置器界面主放电正继电器故障、预充继电器故障、高压漏电故障、CP故障、空调压缩机故障、PTC加热故障等10路故障可以对高压系统中各接触器设置故障也可以对民用电网和交流充电系统设置故障，并且操控主界面会出现故障警报符号，显示已有故障。所有故障类型均是纯电动汽车常见故障有利于学生对纯电动汽车高压故障的理解分析。（投标文件中需提供上位机软件故障设置界面的截图图片加盖投标人公章）</w:t>
            </w:r>
            <w:r>
              <w:rPr>
                <w:rFonts w:hint="eastAsia" w:ascii="宋体" w:hAnsi="宋体" w:cs="宋体"/>
                <w:szCs w:val="21"/>
              </w:rPr>
              <w:br w:type="textWrapping"/>
            </w:r>
            <w:r>
              <w:rPr>
                <w:rFonts w:hint="eastAsia" w:ascii="宋体" w:hAnsi="宋体" w:cs="宋体"/>
                <w:szCs w:val="21"/>
              </w:rPr>
              <w:t xml:space="preserve">四、教学及实训项目 </w:t>
            </w:r>
            <w:r>
              <w:rPr>
                <w:rFonts w:hint="eastAsia" w:ascii="宋体" w:hAnsi="宋体" w:cs="宋体"/>
                <w:szCs w:val="21"/>
              </w:rPr>
              <w:br w:type="textWrapping"/>
            </w:r>
            <w:r>
              <w:rPr>
                <w:rFonts w:hint="eastAsia" w:ascii="宋体" w:hAnsi="宋体" w:cs="宋体"/>
                <w:szCs w:val="21"/>
              </w:rPr>
              <w:t>1. 纯电动汽车高压系统的原理教学；</w:t>
            </w:r>
            <w:r>
              <w:rPr>
                <w:rFonts w:hint="eastAsia" w:ascii="宋体" w:hAnsi="宋体" w:cs="宋体"/>
                <w:szCs w:val="21"/>
              </w:rPr>
              <w:br w:type="textWrapping"/>
            </w:r>
            <w:r>
              <w:rPr>
                <w:rFonts w:hint="eastAsia" w:ascii="宋体" w:hAnsi="宋体" w:cs="宋体"/>
                <w:szCs w:val="21"/>
              </w:rPr>
              <w:t>2. 纯电动汽车高压系统各零部件和高压电网示意图的认知；</w:t>
            </w:r>
            <w:r>
              <w:rPr>
                <w:rFonts w:hint="eastAsia" w:ascii="宋体" w:hAnsi="宋体" w:cs="宋体"/>
                <w:szCs w:val="21"/>
              </w:rPr>
              <w:br w:type="textWrapping"/>
            </w:r>
            <w:r>
              <w:rPr>
                <w:rFonts w:hint="eastAsia" w:ascii="宋体" w:hAnsi="宋体" w:cs="宋体"/>
                <w:szCs w:val="21"/>
              </w:rPr>
              <w:t>3. 高压电网和纯电动汽车高压的测量。</w:t>
            </w:r>
            <w:r>
              <w:rPr>
                <w:rFonts w:hint="eastAsia" w:ascii="宋体" w:hAnsi="宋体" w:cs="宋体"/>
                <w:szCs w:val="21"/>
              </w:rPr>
              <w:br w:type="textWrapping"/>
            </w:r>
            <w:r>
              <w:rPr>
                <w:rFonts w:hint="eastAsia" w:ascii="宋体" w:hAnsi="宋体" w:cs="宋体"/>
                <w:szCs w:val="21"/>
              </w:rPr>
              <w:t>4. 高压电网 充电桩 纯电动车高压部分充电关系；</w:t>
            </w:r>
            <w:r>
              <w:rPr>
                <w:rFonts w:hint="eastAsia" w:ascii="宋体" w:hAnsi="宋体" w:cs="宋体"/>
                <w:szCs w:val="21"/>
              </w:rPr>
              <w:br w:type="textWrapping"/>
            </w:r>
            <w:r>
              <w:rPr>
                <w:rFonts w:hint="eastAsia" w:ascii="宋体" w:hAnsi="宋体" w:cs="宋体"/>
                <w:szCs w:val="21"/>
              </w:rPr>
              <w:t>5. 高压系统绝缘测量；</w:t>
            </w:r>
            <w:r>
              <w:rPr>
                <w:rFonts w:hint="eastAsia" w:ascii="宋体" w:hAnsi="宋体" w:cs="宋体"/>
                <w:szCs w:val="21"/>
              </w:rPr>
              <w:br w:type="textWrapping"/>
            </w:r>
            <w:r>
              <w:rPr>
                <w:rFonts w:hint="eastAsia" w:ascii="宋体" w:hAnsi="宋体" w:cs="宋体"/>
                <w:szCs w:val="21"/>
              </w:rPr>
              <w:t>6. 高压系统常见故障分析；</w:t>
            </w:r>
            <w:r>
              <w:rPr>
                <w:rFonts w:hint="eastAsia" w:ascii="宋体" w:hAnsi="宋体" w:cs="宋体"/>
                <w:szCs w:val="21"/>
              </w:rPr>
              <w:br w:type="textWrapping"/>
            </w:r>
            <w:r>
              <w:rPr>
                <w:rFonts w:hint="eastAsia" w:ascii="宋体" w:hAnsi="宋体" w:cs="宋体"/>
                <w:szCs w:val="21"/>
              </w:rPr>
              <w:t>7. 高压系统工作模式及工作逻辑关系分析。</w:t>
            </w:r>
          </w:p>
        </w:tc>
        <w:tc>
          <w:tcPr>
            <w:tcW w:w="357" w:type="pct"/>
            <w:vAlign w:val="center"/>
          </w:tcPr>
          <w:p w14:paraId="02C1FBE0">
            <w:pPr>
              <w:jc w:val="center"/>
              <w:rPr>
                <w:rFonts w:hint="eastAsia" w:ascii="宋体" w:hAnsi="宋体" w:cs="宋体"/>
                <w:szCs w:val="21"/>
              </w:rPr>
            </w:pPr>
            <w:r>
              <w:rPr>
                <w:rFonts w:hint="eastAsia" w:ascii="宋体" w:hAnsi="宋体" w:cs="宋体"/>
                <w:szCs w:val="21"/>
              </w:rPr>
              <w:t>1</w:t>
            </w:r>
          </w:p>
        </w:tc>
        <w:tc>
          <w:tcPr>
            <w:tcW w:w="341" w:type="pct"/>
            <w:vAlign w:val="center"/>
          </w:tcPr>
          <w:p w14:paraId="66E88036">
            <w:pPr>
              <w:jc w:val="center"/>
              <w:rPr>
                <w:rFonts w:hint="eastAsia" w:ascii="宋体" w:hAnsi="宋体" w:cs="宋体"/>
                <w:szCs w:val="21"/>
              </w:rPr>
            </w:pPr>
            <w:r>
              <w:rPr>
                <w:rFonts w:hint="eastAsia" w:ascii="宋体" w:hAnsi="宋体" w:cs="宋体"/>
                <w:szCs w:val="21"/>
              </w:rPr>
              <w:t>套</w:t>
            </w:r>
          </w:p>
        </w:tc>
      </w:tr>
      <w:tr w14:paraId="2913B0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trHeight w:val="686" w:hRule="atLeast"/>
        </w:trPr>
        <w:tc>
          <w:tcPr>
            <w:tcW w:w="193" w:type="pct"/>
            <w:vAlign w:val="center"/>
          </w:tcPr>
          <w:p w14:paraId="04E7CC01">
            <w:pPr>
              <w:jc w:val="center"/>
              <w:rPr>
                <w:rFonts w:hint="eastAsia" w:ascii="宋体" w:hAnsi="宋体" w:cs="宋体"/>
                <w:b/>
                <w:bCs/>
                <w:szCs w:val="21"/>
              </w:rPr>
            </w:pPr>
            <w:r>
              <w:rPr>
                <w:rFonts w:hint="eastAsia" w:ascii="宋体" w:hAnsi="宋体" w:cs="宋体"/>
                <w:szCs w:val="21"/>
              </w:rPr>
              <w:t>10</w:t>
            </w:r>
          </w:p>
        </w:tc>
        <w:tc>
          <w:tcPr>
            <w:tcW w:w="536" w:type="pct"/>
            <w:vAlign w:val="center"/>
          </w:tcPr>
          <w:p w14:paraId="4B89F89D">
            <w:pPr>
              <w:pStyle w:val="80"/>
              <w:jc w:val="center"/>
              <w:rPr>
                <w:rFonts w:hint="eastAsia" w:ascii="宋体" w:hAnsi="宋体" w:cs="宋体"/>
                <w:kern w:val="0"/>
              </w:rPr>
            </w:pPr>
            <w:r>
              <w:rPr>
                <w:rFonts w:hint="eastAsia" w:ascii="宋体" w:hAnsi="宋体" w:cs="宋体"/>
              </w:rPr>
              <w:t>交互式高压配电实训台智能化教学系统</w:t>
            </w:r>
          </w:p>
        </w:tc>
        <w:tc>
          <w:tcPr>
            <w:tcW w:w="3571" w:type="pct"/>
            <w:vAlign w:val="center"/>
          </w:tcPr>
          <w:p w14:paraId="0713717E">
            <w:pPr>
              <w:pStyle w:val="80"/>
              <w:ind w:left="105" w:leftChars="50"/>
              <w:jc w:val="left"/>
              <w:rPr>
                <w:rFonts w:hint="eastAsia" w:ascii="宋体" w:hAnsi="宋体" w:cs="宋体"/>
                <w:kern w:val="0"/>
              </w:rPr>
            </w:pPr>
            <w:r>
              <w:rPr>
                <w:rFonts w:hint="eastAsia" w:ascii="宋体" w:hAnsi="宋体" w:cs="宋体"/>
              </w:rPr>
              <w:t>一、软件要求：</w:t>
            </w:r>
            <w:r>
              <w:rPr>
                <w:rFonts w:hint="eastAsia" w:ascii="宋体" w:hAnsi="宋体" w:cs="宋体"/>
              </w:rPr>
              <w:br w:type="textWrapping"/>
            </w:r>
            <w:r>
              <w:rPr>
                <w:rFonts w:hint="eastAsia" w:ascii="宋体" w:hAnsi="宋体" w:cs="宋体"/>
              </w:rPr>
              <w:t>采用C/S架构开发，软件为单机版。该软件结合教学硬件配套开发，需与下位机硬件同步实现。上位机软件配置可视化图文界面，可操控下位机硬件设备的上电、下电、运行、充电、空调制冷、PTC加热、原理展示及故障设置等功能。便于学生对纯电动汽车高压安全操作实训系统知识的掌握和了解。</w:t>
            </w:r>
            <w:r>
              <w:rPr>
                <w:rFonts w:hint="eastAsia" w:ascii="宋体" w:hAnsi="宋体" w:cs="宋体"/>
              </w:rPr>
              <w:br w:type="textWrapping"/>
            </w:r>
            <w:r>
              <w:rPr>
                <w:rFonts w:hint="eastAsia" w:ascii="宋体" w:hAnsi="宋体" w:cs="宋体"/>
              </w:rPr>
              <w:t>二、技术要求：</w:t>
            </w:r>
            <w:r>
              <w:rPr>
                <w:rFonts w:hint="eastAsia" w:ascii="宋体" w:hAnsi="宋体" w:cs="宋体"/>
              </w:rPr>
              <w:br w:type="textWrapping"/>
            </w:r>
            <w:r>
              <w:rPr>
                <w:rFonts w:hint="eastAsia" w:ascii="宋体" w:hAnsi="宋体" w:cs="宋体"/>
              </w:rPr>
              <w:t>1、CPU: Intel(R) Celeron(R) G3900T以上</w:t>
            </w:r>
            <w:r>
              <w:rPr>
                <w:rFonts w:hint="eastAsia" w:ascii="宋体" w:hAnsi="宋体" w:cs="宋体"/>
              </w:rPr>
              <w:br w:type="textWrapping"/>
            </w:r>
            <w:r>
              <w:rPr>
                <w:rFonts w:hint="eastAsia" w:ascii="宋体" w:hAnsi="宋体" w:cs="宋体"/>
              </w:rPr>
              <w:t>2、内存：DDR3 4G 以上</w:t>
            </w:r>
            <w:r>
              <w:rPr>
                <w:rFonts w:hint="eastAsia" w:ascii="宋体" w:hAnsi="宋体" w:cs="宋体"/>
              </w:rPr>
              <w:br w:type="textWrapping"/>
            </w:r>
            <w:r>
              <w:rPr>
                <w:rFonts w:hint="eastAsia" w:ascii="宋体" w:hAnsi="宋体" w:cs="宋体"/>
              </w:rPr>
              <w:t>3、操作系统：Windows 7  64bit 以上</w:t>
            </w:r>
            <w:r>
              <w:rPr>
                <w:rFonts w:hint="eastAsia" w:ascii="宋体" w:hAnsi="宋体" w:cs="宋体"/>
              </w:rPr>
              <w:br w:type="textWrapping"/>
            </w:r>
            <w:r>
              <w:rPr>
                <w:rFonts w:hint="eastAsia" w:ascii="宋体" w:hAnsi="宋体" w:cs="宋体"/>
              </w:rPr>
              <w:t>4、硬盘：32G以上</w:t>
            </w:r>
            <w:r>
              <w:rPr>
                <w:rFonts w:hint="eastAsia" w:ascii="宋体" w:hAnsi="宋体" w:cs="宋体"/>
              </w:rPr>
              <w:br w:type="textWrapping"/>
            </w:r>
            <w:r>
              <w:rPr>
                <w:rFonts w:hint="eastAsia" w:ascii="宋体" w:hAnsi="宋体" w:cs="宋体"/>
              </w:rPr>
              <w:t>5、屏幕分辨率：1920X1080</w:t>
            </w:r>
            <w:r>
              <w:rPr>
                <w:rFonts w:hint="eastAsia" w:ascii="宋体" w:hAnsi="宋体" w:cs="宋体"/>
              </w:rPr>
              <w:br w:type="textWrapping"/>
            </w:r>
            <w:r>
              <w:rPr>
                <w:rFonts w:hint="eastAsia" w:ascii="宋体" w:hAnsi="宋体" w:cs="宋体"/>
              </w:rPr>
              <w:t>6、电容触摸屏一体机</w:t>
            </w:r>
            <w:r>
              <w:rPr>
                <w:rFonts w:hint="eastAsia" w:ascii="宋体" w:hAnsi="宋体" w:cs="宋体"/>
              </w:rPr>
              <w:br w:type="textWrapping"/>
            </w:r>
            <w:r>
              <w:rPr>
                <w:rFonts w:hint="eastAsia" w:ascii="宋体" w:hAnsi="宋体" w:cs="宋体"/>
              </w:rPr>
              <w:t>三、功能要求：</w:t>
            </w:r>
            <w:r>
              <w:rPr>
                <w:rFonts w:hint="eastAsia" w:ascii="宋体" w:hAnsi="宋体" w:cs="宋体"/>
              </w:rPr>
              <w:br w:type="textWrapping"/>
            </w:r>
            <w:r>
              <w:rPr>
                <w:rFonts w:hint="eastAsia" w:ascii="宋体" w:hAnsi="宋体" w:cs="宋体"/>
              </w:rPr>
              <w:t>1、首先，进入上位机软件操控界面，然后点击实训台上点火开关，实训台和操控软件进行工作状态REDAY灯亮起时，在操控界面下方有档位P、R、N、D档，空调制冷、PTC加热、原理展示、故障设置、直流充电、通讯信号灯RX、TX等功能按键；</w:t>
            </w:r>
            <w:r>
              <w:rPr>
                <w:rFonts w:hint="eastAsia" w:ascii="宋体" w:hAnsi="宋体" w:cs="宋体"/>
              </w:rPr>
              <w:br w:type="textWrapping"/>
            </w:r>
            <w:r>
              <w:rPr>
                <w:rFonts w:hint="eastAsia" w:ascii="宋体" w:hAnsi="宋体" w:cs="宋体"/>
              </w:rPr>
              <w:t>（1）当点击R、D档按钮后，面板的上的的驱动电机会模拟实车方式以前进、后退的方向转动，面板上旋转按钮可以调节快慢，同时可以在面板上测量工作时接触器的电压值，还可以点击操控软件中“原理展示”按钮后，软件界面将跳转到R、D当前工作运行状态电流的走向；</w:t>
            </w:r>
            <w:r>
              <w:rPr>
                <w:rFonts w:hint="eastAsia" w:ascii="宋体" w:hAnsi="宋体" w:cs="宋体"/>
              </w:rPr>
              <w:br w:type="textWrapping"/>
            </w:r>
            <w:r>
              <w:rPr>
                <w:rFonts w:hint="eastAsia" w:ascii="宋体" w:hAnsi="宋体" w:cs="宋体"/>
              </w:rPr>
              <w:t>（2）当点击“制冷”和“加热”按钮后，制冷或加热接触器将会工作，面板中能测到工作时的电压值，然后点击“原理展示”按钮后，软件界面将转到制冷、加热当前工作的电流走向；</w:t>
            </w:r>
            <w:r>
              <w:rPr>
                <w:rFonts w:hint="eastAsia" w:ascii="宋体" w:hAnsi="宋体" w:cs="宋体"/>
              </w:rPr>
              <w:br w:type="textWrapping"/>
            </w:r>
            <w:r>
              <w:rPr>
                <w:rFonts w:hint="eastAsia" w:ascii="宋体" w:hAnsi="宋体" w:cs="宋体"/>
              </w:rPr>
              <w:t>（3）当点击“直流充电”按钮后，仪表界面中会模拟实车显示直流充电枪和电池符号，并且电池符号充电量在动，证明充电正常，并且在面板上能测量出直流充电时接触器电压值，然后点击“原理展示”按钮后，软件界面将转到直流充电状态的电流走向；</w:t>
            </w:r>
            <w:r>
              <w:rPr>
                <w:rFonts w:hint="eastAsia" w:ascii="宋体" w:hAnsi="宋体" w:cs="宋体"/>
              </w:rPr>
              <w:br w:type="textWrapping"/>
            </w:r>
            <w:r>
              <w:rPr>
                <w:rFonts w:hint="eastAsia" w:ascii="宋体" w:hAnsi="宋体" w:cs="宋体"/>
              </w:rPr>
              <w:t>（4）当交流充电时，把交流充电枪插上面板上的交流充电口上，电脑仪表主界面上会显示充电枪符号，代表插枪正常，然后在实训台上配置的交流充电桩上进行刷卡，仪表上显示直流充电电池符号，并且电量符号在动，充电正常，并且在面板上可以测到交流充电接触器电压值，再点击操控软件中“原理展示”按钮后，软件界面将跳转到交流充电状态工作运行状态电流的走向；</w:t>
            </w:r>
            <w:r>
              <w:rPr>
                <w:rFonts w:hint="eastAsia" w:ascii="宋体" w:hAnsi="宋体" w:cs="宋体"/>
              </w:rPr>
              <w:br w:type="textWrapping"/>
            </w:r>
            <w:r>
              <w:rPr>
                <w:rFonts w:hint="eastAsia" w:ascii="宋体" w:hAnsi="宋体" w:cs="宋体"/>
              </w:rPr>
              <w:t>2、点击操控软件中“原理展示”按钮，软件界面将跳转到实训台当前运行状态下高压系统工作电流走向原理图，切换不同工作状态所展示的高压系统工作电流走向原理图会有所不同；</w:t>
            </w:r>
            <w:r>
              <w:rPr>
                <w:rFonts w:hint="eastAsia" w:ascii="宋体" w:hAnsi="宋体" w:cs="宋体"/>
              </w:rPr>
              <w:br w:type="textWrapping"/>
            </w:r>
            <w:r>
              <w:rPr>
                <w:rFonts w:hint="eastAsia" w:ascii="宋体" w:hAnsi="宋体" w:cs="宋体"/>
              </w:rPr>
              <w:t>3、在操作软件点击故障设置按钮，将会转到故障设置器界面主放电正继电器故障、预充继电器故障、高压漏电故障、CP故障、空调压缩机故障、PTC加热故障等10路故障可以对高压系统中各接触器设置故障也可以对民用电网和交流充电系统设置故障，并且操控主界面会出现故障警报符号，显示已有故障。所有故障类型均是纯电动汽车常见故障，有利于学生对纯电动汽车高压故障的理解分析。</w:t>
            </w:r>
            <w:r>
              <w:rPr>
                <w:rFonts w:hint="eastAsia" w:ascii="宋体" w:hAnsi="宋体" w:cs="宋体"/>
              </w:rPr>
              <w:br w:type="textWrapping"/>
            </w:r>
            <w:r>
              <w:rPr>
                <w:rFonts w:hint="eastAsia" w:ascii="宋体" w:hAnsi="宋体" w:cs="宋体"/>
              </w:rPr>
              <w:t xml:space="preserve">四、实训要求： </w:t>
            </w:r>
            <w:r>
              <w:rPr>
                <w:rFonts w:hint="eastAsia" w:ascii="宋体" w:hAnsi="宋体" w:cs="宋体"/>
              </w:rPr>
              <w:br w:type="textWrapping"/>
            </w:r>
            <w:r>
              <w:rPr>
                <w:rFonts w:hint="eastAsia" w:ascii="宋体" w:hAnsi="宋体" w:cs="宋体"/>
              </w:rPr>
              <w:t>1、纯电动汽车高压系统的原理教学；</w:t>
            </w:r>
            <w:r>
              <w:rPr>
                <w:rFonts w:hint="eastAsia" w:ascii="宋体" w:hAnsi="宋体" w:cs="宋体"/>
              </w:rPr>
              <w:br w:type="textWrapping"/>
            </w:r>
            <w:r>
              <w:rPr>
                <w:rFonts w:hint="eastAsia" w:ascii="宋体" w:hAnsi="宋体" w:cs="宋体"/>
              </w:rPr>
              <w:t>2、高压电网和纯电动汽车高压的测量；</w:t>
            </w:r>
            <w:r>
              <w:rPr>
                <w:rFonts w:hint="eastAsia" w:ascii="宋体" w:hAnsi="宋体" w:cs="宋体"/>
              </w:rPr>
              <w:br w:type="textWrapping"/>
            </w:r>
            <w:r>
              <w:rPr>
                <w:rFonts w:hint="eastAsia" w:ascii="宋体" w:hAnsi="宋体" w:cs="宋体"/>
              </w:rPr>
              <w:t>3、高压系统常见故障分析。</w:t>
            </w:r>
            <w:r>
              <w:rPr>
                <w:rFonts w:hint="eastAsia" w:ascii="宋体" w:hAnsi="宋体" w:cs="宋体"/>
              </w:rPr>
              <w:br w:type="textWrapping"/>
            </w:r>
            <w:r>
              <w:rPr>
                <w:rFonts w:hint="eastAsia" w:ascii="宋体" w:hAnsi="宋体" w:cs="宋体"/>
              </w:rPr>
              <w:t>五、交互式高压配电实训台实训指导书技术要求：</w:t>
            </w:r>
            <w:r>
              <w:rPr>
                <w:rFonts w:hint="eastAsia" w:ascii="宋体" w:hAnsi="宋体" w:cs="宋体"/>
              </w:rPr>
              <w:br w:type="textWrapping"/>
            </w:r>
            <w:r>
              <w:rPr>
                <w:rFonts w:hint="eastAsia" w:ascii="宋体" w:hAnsi="宋体" w:cs="宋体"/>
              </w:rPr>
              <w:t>1、通过图文展示描述的方式，对高压安全操作系统的各个零部件的位置、工作原理和典型故障分析。本书通过设置5个学习任务，任务涵盖交流充电、预充接触器、DC/DC系统、PTC系统和空调压缩机等多个系统，可使学生充分学习理解电动汽车的组成和工作过程。</w:t>
            </w:r>
            <w:r>
              <w:rPr>
                <w:rFonts w:hint="eastAsia" w:ascii="宋体" w:hAnsi="宋体" w:cs="宋体"/>
              </w:rPr>
              <w:br w:type="textWrapping"/>
            </w:r>
            <w:r>
              <w:rPr>
                <w:rFonts w:hint="eastAsia" w:ascii="宋体" w:hAnsi="宋体" w:cs="宋体"/>
              </w:rPr>
              <w:t>2、每个学习任务开篇标有此任务的学习目标，和建议学时，方便教师把控在教学过程中对重难点内容的讲解和对课程时间分配的掌握。</w:t>
            </w:r>
            <w:r>
              <w:rPr>
                <w:rFonts w:hint="eastAsia" w:ascii="宋体" w:hAnsi="宋体" w:cs="宋体"/>
              </w:rPr>
              <w:br w:type="textWrapping"/>
            </w:r>
            <w:r>
              <w:rPr>
                <w:rFonts w:hint="eastAsia" w:ascii="宋体" w:hAnsi="宋体" w:cs="宋体"/>
              </w:rPr>
              <w:t>3、每个任务的“学习拓展”板块，采用文字、图片和表格的形式对知识点进行讲解，从技术的历史由来，到当前流行通用的技术进行原理展示和线路图分析。对当前教学任务的重点难点进行详尽的分析描述之外，还对和此部件所相关的知识内容进行扩展。让学生在学习完课内的知识内容外，还额外的掌握了更加有深度的内容，对打开学生思维、引导学生进行思考，提高学生的学习热情。</w:t>
            </w:r>
            <w:r>
              <w:rPr>
                <w:rFonts w:hint="eastAsia" w:ascii="宋体" w:hAnsi="宋体" w:cs="宋体"/>
              </w:rPr>
              <w:br w:type="textWrapping"/>
            </w:r>
            <w:r>
              <w:rPr>
                <w:rFonts w:hint="eastAsia" w:ascii="宋体" w:hAnsi="宋体" w:cs="宋体"/>
              </w:rPr>
              <w:t>4、在对理论内容讲解完成后，还设置了课程实训版块，版块内采用文字、图片和表格的形式对所学内容进行实训。图片采用实车、实表拍摄，保证图片内容和教学过程中所使用的教学设备完全相同，充分还原了学生在实训时需要测量插头接口和测量的数据。引领学生在实践操作中找到故障并对故障进行排除。并且可以学会正确穿戴防护设备和工具的使用。</w:t>
            </w:r>
            <w:r>
              <w:rPr>
                <w:rFonts w:hint="eastAsia" w:ascii="宋体" w:hAnsi="宋体" w:cs="宋体"/>
              </w:rPr>
              <w:br w:type="textWrapping"/>
            </w:r>
            <w:r>
              <w:rPr>
                <w:rFonts w:hint="eastAsia" w:ascii="宋体" w:hAnsi="宋体" w:cs="宋体"/>
              </w:rPr>
              <w:t>5、章节最后的自测题可以帮助学生巩固课上所学习的内容，并对课上的重难点内容进行复习，形成课前预习-课上学习-课后复习的完整的学习链。</w:t>
            </w:r>
          </w:p>
        </w:tc>
        <w:tc>
          <w:tcPr>
            <w:tcW w:w="357" w:type="pct"/>
            <w:vAlign w:val="center"/>
          </w:tcPr>
          <w:p w14:paraId="0FF5A9D2">
            <w:pPr>
              <w:jc w:val="center"/>
              <w:rPr>
                <w:rFonts w:hint="eastAsia" w:ascii="宋体" w:hAnsi="宋体" w:cs="宋体"/>
                <w:szCs w:val="21"/>
              </w:rPr>
            </w:pPr>
            <w:r>
              <w:rPr>
                <w:rFonts w:hint="eastAsia" w:ascii="宋体" w:hAnsi="宋体" w:cs="宋体"/>
                <w:szCs w:val="21"/>
              </w:rPr>
              <w:t>1</w:t>
            </w:r>
          </w:p>
        </w:tc>
        <w:tc>
          <w:tcPr>
            <w:tcW w:w="341" w:type="pct"/>
            <w:vAlign w:val="center"/>
          </w:tcPr>
          <w:p w14:paraId="5E8095DC">
            <w:pPr>
              <w:jc w:val="center"/>
              <w:rPr>
                <w:rFonts w:hint="eastAsia" w:ascii="宋体" w:hAnsi="宋体" w:cs="宋体"/>
                <w:szCs w:val="21"/>
              </w:rPr>
            </w:pPr>
          </w:p>
          <w:p w14:paraId="0601F816">
            <w:pPr>
              <w:jc w:val="center"/>
              <w:rPr>
                <w:rFonts w:hint="eastAsia" w:ascii="宋体" w:hAnsi="宋体" w:cs="宋体"/>
                <w:szCs w:val="21"/>
              </w:rPr>
            </w:pPr>
          </w:p>
          <w:p w14:paraId="14970B55">
            <w:pPr>
              <w:jc w:val="center"/>
              <w:rPr>
                <w:rFonts w:hint="eastAsia" w:ascii="宋体" w:hAnsi="宋体" w:cs="宋体"/>
                <w:szCs w:val="21"/>
              </w:rPr>
            </w:pPr>
            <w:r>
              <w:rPr>
                <w:rFonts w:hint="eastAsia" w:ascii="宋体" w:hAnsi="宋体" w:cs="宋体"/>
                <w:szCs w:val="21"/>
              </w:rPr>
              <w:t>套</w:t>
            </w:r>
          </w:p>
          <w:p w14:paraId="019A7D38">
            <w:pPr>
              <w:jc w:val="center"/>
              <w:rPr>
                <w:rFonts w:hint="eastAsia" w:ascii="宋体" w:hAnsi="宋体" w:cs="宋体"/>
                <w:szCs w:val="21"/>
              </w:rPr>
            </w:pPr>
          </w:p>
          <w:p w14:paraId="1EC28FCF">
            <w:pPr>
              <w:jc w:val="center"/>
              <w:rPr>
                <w:rFonts w:hint="eastAsia" w:ascii="宋体" w:hAnsi="宋体" w:cs="宋体"/>
                <w:szCs w:val="21"/>
              </w:rPr>
            </w:pPr>
          </w:p>
        </w:tc>
      </w:tr>
      <w:tr w14:paraId="2E2535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trHeight w:val="695" w:hRule="atLeast"/>
        </w:trPr>
        <w:tc>
          <w:tcPr>
            <w:tcW w:w="193" w:type="pct"/>
            <w:vAlign w:val="center"/>
          </w:tcPr>
          <w:p w14:paraId="73578163">
            <w:pPr>
              <w:jc w:val="center"/>
              <w:rPr>
                <w:rFonts w:hint="eastAsia" w:ascii="宋体" w:hAnsi="宋体" w:cs="宋体"/>
                <w:b/>
                <w:bCs/>
                <w:szCs w:val="21"/>
              </w:rPr>
            </w:pPr>
            <w:r>
              <w:rPr>
                <w:rFonts w:hint="eastAsia" w:ascii="宋体" w:hAnsi="宋体" w:cs="宋体"/>
                <w:szCs w:val="21"/>
              </w:rPr>
              <w:t>11</w:t>
            </w:r>
          </w:p>
        </w:tc>
        <w:tc>
          <w:tcPr>
            <w:tcW w:w="536" w:type="pct"/>
            <w:vAlign w:val="center"/>
          </w:tcPr>
          <w:p w14:paraId="7F0BB466">
            <w:pPr>
              <w:pStyle w:val="80"/>
              <w:jc w:val="center"/>
              <w:rPr>
                <w:rFonts w:hint="eastAsia" w:ascii="宋体" w:hAnsi="宋体" w:cs="宋体"/>
                <w:kern w:val="0"/>
              </w:rPr>
            </w:pPr>
            <w:r>
              <w:rPr>
                <w:rFonts w:hint="eastAsia" w:ascii="宋体" w:hAnsi="宋体" w:cs="宋体"/>
              </w:rPr>
              <w:t>新能源汽车驱动控制实训系统</w:t>
            </w:r>
          </w:p>
        </w:tc>
        <w:tc>
          <w:tcPr>
            <w:tcW w:w="3571" w:type="pct"/>
            <w:vAlign w:val="center"/>
          </w:tcPr>
          <w:p w14:paraId="7F14B831">
            <w:pPr>
              <w:pStyle w:val="80"/>
              <w:ind w:left="105" w:leftChars="50"/>
              <w:jc w:val="left"/>
              <w:rPr>
                <w:rFonts w:hint="eastAsia" w:ascii="宋体" w:hAnsi="宋体" w:cs="宋体"/>
                <w:kern w:val="0"/>
              </w:rPr>
            </w:pPr>
            <w:r>
              <w:rPr>
                <w:rFonts w:hint="eastAsia" w:ascii="宋体" w:hAnsi="宋体" w:cs="宋体"/>
              </w:rPr>
              <w:t>新能源汽车驱动控制实训系统</w:t>
            </w:r>
            <w:r>
              <w:rPr>
                <w:rFonts w:hint="eastAsia" w:ascii="宋体" w:hAnsi="宋体" w:cs="宋体"/>
              </w:rPr>
              <w:br w:type="textWrapping"/>
            </w:r>
            <w:r>
              <w:rPr>
                <w:rFonts w:hint="eastAsia" w:ascii="宋体" w:hAnsi="宋体" w:cs="宋体"/>
              </w:rPr>
              <w:t xml:space="preserve">一、产品组成 </w:t>
            </w:r>
            <w:r>
              <w:rPr>
                <w:rFonts w:hint="eastAsia" w:ascii="宋体" w:hAnsi="宋体" w:cs="宋体"/>
              </w:rPr>
              <w:br w:type="textWrapping"/>
            </w:r>
            <w:r>
              <w:rPr>
                <w:rFonts w:hint="eastAsia" w:ascii="宋体" w:hAnsi="宋体" w:cs="宋体"/>
              </w:rPr>
              <w:t>检测面板：图形式检测面板、插头式检测面板A、插头式检测面吧B；</w:t>
            </w:r>
            <w:r>
              <w:rPr>
                <w:rFonts w:hint="eastAsia" w:ascii="宋体" w:hAnsi="宋体" w:cs="宋体"/>
              </w:rPr>
              <w:br w:type="textWrapping"/>
            </w:r>
            <w:r>
              <w:rPr>
                <w:rFonts w:hint="eastAsia" w:ascii="宋体" w:hAnsi="宋体" w:cs="宋体"/>
              </w:rPr>
              <w:t>电机控制器：</w:t>
            </w:r>
            <w:r>
              <w:rPr>
                <w:rFonts w:hint="eastAsia" w:ascii="宋体" w:hAnsi="宋体" w:cs="宋体"/>
              </w:rPr>
              <w:br w:type="textWrapping"/>
            </w:r>
            <w:r>
              <w:rPr>
                <w:rFonts w:hint="eastAsia" w:ascii="宋体" w:hAnsi="宋体" w:cs="宋体"/>
              </w:rPr>
              <w:t>防护等级：IP67 结构尺寸：（470-480）*（240-255）*（105-110）mm</w:t>
            </w:r>
            <w:r>
              <w:rPr>
                <w:rFonts w:hint="eastAsia" w:ascii="宋体" w:hAnsi="宋体" w:cs="宋体"/>
              </w:rPr>
              <w:br w:type="textWrapping"/>
            </w:r>
            <w:r>
              <w:rPr>
                <w:rFonts w:hint="eastAsia" w:ascii="宋体" w:hAnsi="宋体" w:cs="宋体"/>
              </w:rPr>
              <w:t>重量：14.8KG-15.5KG 驱动器电流：570A/10S</w:t>
            </w:r>
            <w:r>
              <w:rPr>
                <w:rFonts w:hint="eastAsia" w:ascii="宋体" w:hAnsi="宋体" w:cs="宋体"/>
              </w:rPr>
              <w:br w:type="textWrapping"/>
            </w:r>
            <w:r>
              <w:rPr>
                <w:rFonts w:hint="eastAsia" w:ascii="宋体" w:hAnsi="宋体" w:cs="宋体"/>
              </w:rPr>
              <w:t>工作电压：≤450V 额定工作电压：350V</w:t>
            </w:r>
            <w:r>
              <w:rPr>
                <w:rFonts w:hint="eastAsia" w:ascii="宋体" w:hAnsi="宋体" w:cs="宋体"/>
              </w:rPr>
              <w:br w:type="textWrapping"/>
            </w:r>
            <w:r>
              <w:rPr>
                <w:rFonts w:hint="eastAsia" w:ascii="宋体" w:hAnsi="宋体" w:cs="宋体"/>
              </w:rPr>
              <w:t>冷却水最高温度：-40~75℃ 工作环境温度：-40~105℃</w:t>
            </w:r>
            <w:r>
              <w:rPr>
                <w:rFonts w:hint="eastAsia" w:ascii="宋体" w:hAnsi="宋体" w:cs="宋体"/>
              </w:rPr>
              <w:br w:type="textWrapping"/>
            </w:r>
            <w:r>
              <w:rPr>
                <w:rFonts w:hint="eastAsia" w:ascii="宋体" w:hAnsi="宋体" w:cs="宋体"/>
              </w:rPr>
              <w:t>驱动电机：</w:t>
            </w:r>
            <w:r>
              <w:rPr>
                <w:rFonts w:hint="eastAsia" w:ascii="宋体" w:hAnsi="宋体" w:cs="宋体"/>
              </w:rPr>
              <w:br w:type="textWrapping"/>
            </w:r>
            <w:r>
              <w:rPr>
                <w:rFonts w:hint="eastAsia" w:ascii="宋体" w:hAnsi="宋体" w:cs="宋体"/>
              </w:rPr>
              <w:t>防护等级：≥IP67 额定电压：346V DC</w:t>
            </w:r>
            <w:r>
              <w:rPr>
                <w:rFonts w:hint="eastAsia" w:ascii="宋体" w:hAnsi="宋体" w:cs="宋体"/>
              </w:rPr>
              <w:br w:type="textWrapping"/>
            </w:r>
            <w:r>
              <w:rPr>
                <w:rFonts w:hint="eastAsia" w:ascii="宋体" w:hAnsi="宋体" w:cs="宋体"/>
              </w:rPr>
              <w:t>持续电流：≥200A 持续功率：≥45KW</w:t>
            </w:r>
            <w:r>
              <w:rPr>
                <w:rFonts w:hint="eastAsia" w:ascii="宋体" w:hAnsi="宋体" w:cs="宋体"/>
              </w:rPr>
              <w:br w:type="textWrapping"/>
            </w:r>
            <w:r>
              <w:rPr>
                <w:rFonts w:hint="eastAsia" w:ascii="宋体" w:hAnsi="宋体" w:cs="宋体"/>
              </w:rPr>
              <w:t>峰值功率：≥90KW 持续扭矩：≥135NM</w:t>
            </w:r>
            <w:r>
              <w:rPr>
                <w:rFonts w:hint="eastAsia" w:ascii="宋体" w:hAnsi="宋体" w:cs="宋体"/>
              </w:rPr>
              <w:br w:type="textWrapping"/>
            </w:r>
            <w:r>
              <w:rPr>
                <w:rFonts w:hint="eastAsia" w:ascii="宋体" w:hAnsi="宋体" w:cs="宋体"/>
              </w:rPr>
              <w:t>峰值扭矩：≥280NM 额定转速：≥3200rpm</w:t>
            </w:r>
            <w:r>
              <w:rPr>
                <w:rFonts w:hint="eastAsia" w:ascii="宋体" w:hAnsi="宋体" w:cs="宋体"/>
              </w:rPr>
              <w:br w:type="textWrapping"/>
            </w:r>
            <w:r>
              <w:rPr>
                <w:rFonts w:hint="eastAsia" w:ascii="宋体" w:hAnsi="宋体" w:cs="宋体"/>
              </w:rPr>
              <w:t>峰值转速：≥12000rpm 最高效率：≥97.1%</w:t>
            </w:r>
            <w:r>
              <w:rPr>
                <w:rFonts w:hint="eastAsia" w:ascii="宋体" w:hAnsi="宋体" w:cs="宋体"/>
              </w:rPr>
              <w:br w:type="textWrapping"/>
            </w:r>
            <w:r>
              <w:rPr>
                <w:rFonts w:hint="eastAsia" w:ascii="宋体" w:hAnsi="宋体" w:cs="宋体"/>
              </w:rPr>
              <w:t>散热装置：冷却水泵、冷却水管、溢水壶、散热器、冷却风扇、冷却水管；</w:t>
            </w:r>
            <w:r>
              <w:rPr>
                <w:rFonts w:hint="eastAsia" w:ascii="宋体" w:hAnsi="宋体" w:cs="宋体"/>
              </w:rPr>
              <w:br w:type="textWrapping"/>
            </w:r>
            <w:r>
              <w:rPr>
                <w:rFonts w:hint="eastAsia" w:ascii="宋体" w:hAnsi="宋体" w:cs="宋体"/>
              </w:rPr>
              <w:t>制动系统:制动踏板、制动开关、制动总泵、制动分泵、制动油管、制动液壶、制动盘、外球笼、半轴、内球笼、制动专用链接盘；</w:t>
            </w:r>
            <w:r>
              <w:rPr>
                <w:rFonts w:hint="eastAsia" w:ascii="宋体" w:hAnsi="宋体" w:cs="宋体"/>
              </w:rPr>
              <w:br w:type="textWrapping"/>
            </w:r>
            <w:r>
              <w:rPr>
                <w:rFonts w:hint="eastAsia" w:ascii="宋体" w:hAnsi="宋体" w:cs="宋体"/>
              </w:rPr>
              <w:t>高压组件：高压连接线束、系统高压供电箱、漏电保护器、工业供电插头、预充电阻、预充接触器、供电正接触器、供电负接触器；</w:t>
            </w:r>
            <w:r>
              <w:rPr>
                <w:rFonts w:hint="eastAsia" w:ascii="宋体" w:hAnsi="宋体" w:cs="宋体"/>
              </w:rPr>
              <w:br w:type="textWrapping"/>
            </w:r>
            <w:r>
              <w:rPr>
                <w:rFonts w:hint="eastAsia" w:ascii="宋体" w:hAnsi="宋体" w:cs="宋体"/>
              </w:rPr>
              <w:t>电脑：高强度伸缩臂、19寸 2G内存 硬盘固态32G 电容触摸屏一体机、19寸工控触摸液晶显示器、驱动控制系统软件；</w:t>
            </w:r>
            <w:r>
              <w:rPr>
                <w:rFonts w:hint="eastAsia" w:ascii="宋体" w:hAnsi="宋体" w:cs="宋体"/>
              </w:rPr>
              <w:br w:type="textWrapping"/>
            </w:r>
            <w:r>
              <w:rPr>
                <w:rFonts w:hint="eastAsia" w:ascii="宋体" w:hAnsi="宋体" w:cs="宋体"/>
              </w:rPr>
              <w:t>通讯组件：USB转串口通讯线、周立功CAN总线分析仪；</w:t>
            </w:r>
            <w:r>
              <w:rPr>
                <w:rFonts w:hint="eastAsia" w:ascii="宋体" w:hAnsi="宋体" w:cs="宋体"/>
              </w:rPr>
              <w:br w:type="textWrapping"/>
            </w:r>
            <w:r>
              <w:rPr>
                <w:rFonts w:hint="eastAsia" w:ascii="宋体" w:hAnsi="宋体" w:cs="宋体"/>
              </w:rPr>
              <w:t>故障设置系统：20路多工能故障设置器、通讯控制主控制器。</w:t>
            </w:r>
            <w:r>
              <w:rPr>
                <w:rFonts w:hint="eastAsia" w:ascii="宋体" w:hAnsi="宋体" w:cs="宋体"/>
              </w:rPr>
              <w:br w:type="textWrapping"/>
            </w:r>
            <w:r>
              <w:rPr>
                <w:rFonts w:hint="eastAsia" w:ascii="宋体" w:hAnsi="宋体" w:cs="宋体"/>
              </w:rPr>
              <w:t xml:space="preserve">二、产品规格 </w:t>
            </w:r>
            <w:r>
              <w:rPr>
                <w:rFonts w:hint="eastAsia" w:ascii="宋体" w:hAnsi="宋体" w:cs="宋体"/>
              </w:rPr>
              <w:br w:type="textWrapping"/>
            </w:r>
            <w:r>
              <w:rPr>
                <w:rFonts w:hint="eastAsia" w:ascii="宋体" w:hAnsi="宋体" w:cs="宋体"/>
              </w:rPr>
              <w:t>台架尺寸：  （1400-14100*（1200-12100*（1400-1410） mm（长*宽*高）</w:t>
            </w:r>
            <w:r>
              <w:rPr>
                <w:rFonts w:hint="eastAsia" w:ascii="宋体" w:hAnsi="宋体" w:cs="宋体"/>
              </w:rPr>
              <w:br w:type="textWrapping"/>
            </w:r>
            <w:r>
              <w:rPr>
                <w:rFonts w:hint="eastAsia" w:ascii="宋体" w:hAnsi="宋体" w:cs="宋体"/>
              </w:rPr>
              <w:t>三、功能要求</w:t>
            </w:r>
            <w:r>
              <w:rPr>
                <w:rFonts w:hint="eastAsia" w:ascii="宋体" w:hAnsi="宋体" w:cs="宋体"/>
              </w:rPr>
              <w:br w:type="textWrapping"/>
            </w:r>
            <w:r>
              <w:rPr>
                <w:rFonts w:hint="eastAsia" w:ascii="宋体" w:hAnsi="宋体" w:cs="宋体"/>
              </w:rPr>
              <w:t>1. 模块化设计，稳定可靠：设备采用模块化设计原则，使用方便，配置灵活，配备控制器后台监控软件可随时对控制器控制策略升级更改；</w:t>
            </w:r>
            <w:r>
              <w:rPr>
                <w:rFonts w:hint="eastAsia" w:ascii="宋体" w:hAnsi="宋体" w:cs="宋体"/>
              </w:rPr>
              <w:br w:type="textWrapping"/>
            </w:r>
            <w:r>
              <w:rPr>
                <w:rFonts w:hint="eastAsia" w:ascii="宋体" w:hAnsi="宋体" w:cs="宋体"/>
              </w:rPr>
              <w:t>2. 全方位保护，运行安全：电机控制器具备欠压保护、过压保护、过载保护、过温保护、故障保护等功能，确保设备运行安全可靠；</w:t>
            </w:r>
            <w:r>
              <w:rPr>
                <w:rFonts w:hint="eastAsia" w:ascii="宋体" w:hAnsi="宋体" w:cs="宋体"/>
              </w:rPr>
              <w:br w:type="textWrapping"/>
            </w:r>
            <w:r>
              <w:rPr>
                <w:rFonts w:hint="eastAsia" w:ascii="宋体" w:hAnsi="宋体" w:cs="宋体"/>
              </w:rPr>
              <w:t>3. 19寸工控电脑：双19寸液晶触摸显示屏，控制实训台运行方式和故障设置，触屏A实时显示设备状态和运行数据（档位、工作状态、电源开关状态、驻坡模式、输出扭矩、主电机当前转速、故障等级、母线电压等信息），触屏B可随时播放实训台所配备的微课资源；</w:t>
            </w:r>
            <w:r>
              <w:rPr>
                <w:rFonts w:hint="eastAsia" w:ascii="宋体" w:hAnsi="宋体" w:cs="宋体"/>
              </w:rPr>
              <w:br w:type="textWrapping"/>
            </w:r>
            <w:r>
              <w:rPr>
                <w:rFonts w:hint="eastAsia" w:ascii="宋体" w:hAnsi="宋体" w:cs="宋体"/>
              </w:rPr>
              <w:t>4. 多工位检测设计：实训台上配置3处检测工位，面板上的检测工位为电路图形式，可直观清晰看到每个电器模块间连线方式，每条线上均设有双向检测端子方便学生对系统进行故障诊断和数据分析，运行台面两侧均设有插头图形式检测面板，所有插头外观和接角都与实际设备上的相同，实训过程中可使用万用表、示波器等专用仪器直接测量，可单组测量也可3组同时进行测量实训； 5. 后台控制软件：实训台配装电机控制器厂家原装控制软件，可以更改电机控制器多项运行参数：</w:t>
            </w:r>
            <w:r>
              <w:rPr>
                <w:rFonts w:hint="eastAsia" w:ascii="宋体" w:hAnsi="宋体" w:cs="宋体"/>
              </w:rPr>
              <w:br w:type="textWrapping"/>
            </w:r>
            <w:r>
              <w:rPr>
                <w:rFonts w:hint="eastAsia" w:ascii="宋体" w:hAnsi="宋体" w:cs="宋体"/>
              </w:rPr>
              <w:t>（1）驱动器参数配置功能；系统基本参数、常用功能、故障与保护、功能码管理、常用状态监视、常用功能码，以上参数均可根据用户需求做更改；</w:t>
            </w:r>
            <w:r>
              <w:rPr>
                <w:rFonts w:hint="eastAsia" w:ascii="宋体" w:hAnsi="宋体" w:cs="宋体"/>
              </w:rPr>
              <w:br w:type="textWrapping"/>
            </w:r>
            <w:r>
              <w:rPr>
                <w:rFonts w:hint="eastAsia" w:ascii="宋体" w:hAnsi="宋体" w:cs="宋体"/>
              </w:rPr>
              <w:t>（2）连续示波器功能；可以打开历史存储的波形文件、保存当前波形、截取当前屏幕图片、放大所指定区域、选择要抓取波形的通道、控制抓取波形和停止抓取波形、通道配置等多项功能；</w:t>
            </w:r>
            <w:r>
              <w:rPr>
                <w:rFonts w:hint="eastAsia" w:ascii="宋体" w:hAnsi="宋体" w:cs="宋体"/>
              </w:rPr>
              <w:br w:type="textWrapping"/>
            </w:r>
            <w:r>
              <w:rPr>
                <w:rFonts w:hint="eastAsia" w:ascii="宋体" w:hAnsi="宋体" w:cs="宋体"/>
              </w:rPr>
              <w:t>（3）故障记录功能;可以记录和直接显示最近10个控制器上发生的故障，每条故障都附有明确的数据信息，可以一键直接导出故障信息；</w:t>
            </w:r>
            <w:r>
              <w:rPr>
                <w:rFonts w:hint="eastAsia" w:ascii="宋体" w:hAnsi="宋体" w:cs="宋体"/>
              </w:rPr>
              <w:br w:type="textWrapping"/>
            </w:r>
            <w:r>
              <w:rPr>
                <w:rFonts w:hint="eastAsia" w:ascii="宋体" w:hAnsi="宋体" w:cs="宋体"/>
              </w:rPr>
              <w:t>（4）烧录功能：如有软件需要升级时，通过此项可一键将系统升级到最高版本；</w:t>
            </w:r>
            <w:r>
              <w:rPr>
                <w:rFonts w:hint="eastAsia" w:ascii="宋体" w:hAnsi="宋体" w:cs="宋体"/>
              </w:rPr>
              <w:br w:type="textWrapping"/>
            </w:r>
            <w:r>
              <w:rPr>
                <w:rFonts w:hint="eastAsia" w:ascii="宋体" w:hAnsi="宋体" w:cs="宋体"/>
              </w:rPr>
              <w:t>6. 智能故障设置系统，故障设置装置与操控软件高度融合，通过RSTTL转USB串口设备对协议数据信息进行转换，实现操控软件上故障设置界面对故障进行设置，在控制仪表主界面中点击“故障设置”进入故障设置界面显示vcu控制故障、MCU供电继电器故障、高压直流正接触器故障、高压直流负接触器故障、CANA-H通讯故障、CANH-L通讯故障、油门踏板位置传感器信号2故障、油门踏板位置传感器接地故障、电机旋变正弦故障等18路通讯故障设置，随意设置任何故障底色颜色会有变化代表故障已设置，故障设置器系统采用多路故障设置输出，可同时设置一个或多个故障，所有故障都配有文字说明，颜色说明、可清晰看见所设置故障内容；</w:t>
            </w:r>
            <w:r>
              <w:rPr>
                <w:rFonts w:hint="eastAsia" w:ascii="宋体" w:hAnsi="宋体" w:cs="宋体"/>
              </w:rPr>
              <w:br w:type="textWrapping"/>
            </w:r>
            <w:r>
              <w:rPr>
                <w:rFonts w:hint="eastAsia" w:ascii="宋体" w:hAnsi="宋体" w:cs="宋体"/>
              </w:rPr>
              <w:t>7. 汽车视频导航端，配备驱动系统工作原理高清视频IGBT原理、电机控制原理、电机冷却系统原理、电流传感器原理等资源软件触摸屏点击随意播放，例如点击IGBT原理播放看到IGBT原理、IGBT的特性、IGBT的电流流动方向以及组成结构动画和语言同步进行，有助于学员更加了解电机和电机控制器内部工作原理和组成结构，并且教师还可以通过资源上传端口上传本地课程资源视频，可同样播放；</w:t>
            </w:r>
            <w:r>
              <w:rPr>
                <w:rFonts w:hint="eastAsia" w:ascii="宋体" w:hAnsi="宋体" w:cs="宋体"/>
              </w:rPr>
              <w:br w:type="textWrapping"/>
            </w:r>
            <w:r>
              <w:rPr>
                <w:rFonts w:hint="eastAsia" w:ascii="宋体" w:hAnsi="宋体" w:cs="宋体"/>
              </w:rPr>
              <w:t>8. 操作软件运行环境要求：采用系统Microsoft Window7系统、语言框架：.Net Framework 4.0、媒体播放器：Windows Media Player 10以上、字体库：Probert-Condensed-10.otf和语音库：系统自带TTS引擎和VW Hui语音库，通过CAN转USB串口设备对通信协议数据信息进行转换，在电脑主界面上双击“汽车实训台”进入仪表主界面，在仪表界面底下有启动开关START、数据信息、故障设置、档位信息P、R、N、D。并且踩住刹车点击仪表左下角上“START”按钮实训台正常启动，在仪表主界面右下方显示档位信息P、R、N、D挡踩住刹车挂挡实训台电机可正常运行，点击“数据信息”里可实时显示系统电机运行功率、电机运行速度、上电信息、故障指示灯及故障等级，通过操控软件上的状态信息通道可实时查看到单位信息、工作状态、电源开关状态、驻坡模式、输出转矩、主电机当前转速、故障等级编号、故障等级、母线电流、母线电压、电机最大转矩、当前最大允许数车转矩、输出电流、电机温度、控制器温度、软件版本、控制模式、转速请求值、当前油门值、转矩请求值等多项信息，通过这些数据信息可深刻了解到实训台电机的运行数据。</w:t>
            </w:r>
            <w:r>
              <w:rPr>
                <w:rFonts w:hint="eastAsia" w:ascii="宋体" w:hAnsi="宋体" w:cs="宋体"/>
              </w:rPr>
              <w:br w:type="textWrapping"/>
            </w:r>
            <w:r>
              <w:rPr>
                <w:rFonts w:hint="eastAsia" w:ascii="宋体" w:hAnsi="宋体" w:cs="宋体"/>
              </w:rPr>
              <w:t>四、教学及实训项目</w:t>
            </w:r>
            <w:r>
              <w:rPr>
                <w:rFonts w:hint="eastAsia" w:ascii="宋体" w:hAnsi="宋体" w:cs="宋体"/>
              </w:rPr>
              <w:br w:type="textWrapping"/>
            </w:r>
            <w:r>
              <w:rPr>
                <w:rFonts w:hint="eastAsia" w:ascii="宋体" w:hAnsi="宋体" w:cs="宋体"/>
              </w:rPr>
              <w:t>1.纯电动汽车驱动电机控制器构造组成分析学习；</w:t>
            </w:r>
            <w:r>
              <w:rPr>
                <w:rFonts w:hint="eastAsia" w:ascii="宋体" w:hAnsi="宋体" w:cs="宋体"/>
              </w:rPr>
              <w:br w:type="textWrapping"/>
            </w:r>
            <w:r>
              <w:rPr>
                <w:rFonts w:hint="eastAsia" w:ascii="宋体" w:hAnsi="宋体" w:cs="宋体"/>
              </w:rPr>
              <w:t>2.驱动电机控制器故障分析排除；</w:t>
            </w:r>
            <w:r>
              <w:rPr>
                <w:rFonts w:hint="eastAsia" w:ascii="宋体" w:hAnsi="宋体" w:cs="宋体"/>
              </w:rPr>
              <w:br w:type="textWrapping"/>
            </w:r>
            <w:r>
              <w:rPr>
                <w:rFonts w:hint="eastAsia" w:ascii="宋体" w:hAnsi="宋体" w:cs="宋体"/>
              </w:rPr>
              <w:t>3.驱动电机控制器控制逻辑学习；</w:t>
            </w:r>
            <w:r>
              <w:rPr>
                <w:rFonts w:hint="eastAsia" w:ascii="宋体" w:hAnsi="宋体" w:cs="宋体"/>
              </w:rPr>
              <w:br w:type="textWrapping"/>
            </w:r>
            <w:r>
              <w:rPr>
                <w:rFonts w:hint="eastAsia" w:ascii="宋体" w:hAnsi="宋体" w:cs="宋体"/>
              </w:rPr>
              <w:t>4.驱动电机控制器控制参数编写调整；</w:t>
            </w:r>
            <w:r>
              <w:rPr>
                <w:rFonts w:hint="eastAsia" w:ascii="宋体" w:hAnsi="宋体" w:cs="宋体"/>
              </w:rPr>
              <w:br w:type="textWrapping"/>
            </w:r>
            <w:r>
              <w:rPr>
                <w:rFonts w:hint="eastAsia" w:ascii="宋体" w:hAnsi="宋体" w:cs="宋体"/>
              </w:rPr>
              <w:t>5.驱动电机控制器通讯逻辑学习；</w:t>
            </w:r>
            <w:r>
              <w:rPr>
                <w:rFonts w:hint="eastAsia" w:ascii="宋体" w:hAnsi="宋体" w:cs="宋体"/>
              </w:rPr>
              <w:br w:type="textWrapping"/>
            </w:r>
            <w:r>
              <w:rPr>
                <w:rFonts w:hint="eastAsia" w:ascii="宋体" w:hAnsi="宋体" w:cs="宋体"/>
              </w:rPr>
              <w:t>6.驱动电机控制器通讯逻辑编写调整；</w:t>
            </w:r>
            <w:r>
              <w:rPr>
                <w:rFonts w:hint="eastAsia" w:ascii="宋体" w:hAnsi="宋体" w:cs="宋体"/>
              </w:rPr>
              <w:br w:type="textWrapping"/>
            </w:r>
            <w:r>
              <w:rPr>
                <w:rFonts w:hint="eastAsia" w:ascii="宋体" w:hAnsi="宋体" w:cs="宋体"/>
              </w:rPr>
              <w:t>7.驱动电机结构原理学习；</w:t>
            </w:r>
            <w:r>
              <w:rPr>
                <w:rFonts w:hint="eastAsia" w:ascii="宋体" w:hAnsi="宋体" w:cs="宋体"/>
              </w:rPr>
              <w:br w:type="textWrapping"/>
            </w:r>
            <w:r>
              <w:rPr>
                <w:rFonts w:hint="eastAsia" w:ascii="宋体" w:hAnsi="宋体" w:cs="宋体"/>
              </w:rPr>
              <w:t>8.旋转变压器结构原理分析；</w:t>
            </w:r>
            <w:r>
              <w:rPr>
                <w:rFonts w:hint="eastAsia" w:ascii="宋体" w:hAnsi="宋体" w:cs="宋体"/>
              </w:rPr>
              <w:br w:type="textWrapping"/>
            </w:r>
            <w:r>
              <w:rPr>
                <w:rFonts w:hint="eastAsia" w:ascii="宋体" w:hAnsi="宋体" w:cs="宋体"/>
              </w:rPr>
              <w:t>9.旋转变压器故障诊断分析排除；</w:t>
            </w:r>
            <w:r>
              <w:rPr>
                <w:rFonts w:hint="eastAsia" w:ascii="宋体" w:hAnsi="宋体" w:cs="宋体"/>
              </w:rPr>
              <w:br w:type="textWrapping"/>
            </w:r>
            <w:r>
              <w:rPr>
                <w:rFonts w:hint="eastAsia" w:ascii="宋体" w:hAnsi="宋体" w:cs="宋体"/>
              </w:rPr>
              <w:t>10.电机温度传感器检测与维修；</w:t>
            </w:r>
            <w:r>
              <w:rPr>
                <w:rFonts w:hint="eastAsia" w:ascii="宋体" w:hAnsi="宋体" w:cs="宋体"/>
              </w:rPr>
              <w:br w:type="textWrapping"/>
            </w:r>
            <w:r>
              <w:rPr>
                <w:rFonts w:hint="eastAsia" w:ascii="宋体" w:hAnsi="宋体" w:cs="宋体"/>
              </w:rPr>
              <w:t>11.高压系统检测维修。</w:t>
            </w:r>
            <w:r>
              <w:rPr>
                <w:rFonts w:hint="eastAsia" w:ascii="宋体" w:hAnsi="宋体" w:cs="宋体"/>
              </w:rPr>
              <w:br w:type="textWrapping"/>
            </w:r>
          </w:p>
        </w:tc>
        <w:tc>
          <w:tcPr>
            <w:tcW w:w="357" w:type="pct"/>
            <w:vAlign w:val="center"/>
          </w:tcPr>
          <w:p w14:paraId="58EB3BD7">
            <w:pPr>
              <w:jc w:val="center"/>
              <w:rPr>
                <w:rFonts w:hint="eastAsia" w:ascii="宋体" w:hAnsi="宋体" w:cs="宋体"/>
                <w:szCs w:val="21"/>
              </w:rPr>
            </w:pPr>
            <w:r>
              <w:rPr>
                <w:rFonts w:hint="eastAsia" w:ascii="宋体" w:hAnsi="宋体" w:cs="宋体"/>
                <w:szCs w:val="21"/>
              </w:rPr>
              <w:t>1</w:t>
            </w:r>
          </w:p>
        </w:tc>
        <w:tc>
          <w:tcPr>
            <w:tcW w:w="341" w:type="pct"/>
            <w:vAlign w:val="center"/>
          </w:tcPr>
          <w:p w14:paraId="536393AD">
            <w:pPr>
              <w:jc w:val="center"/>
              <w:rPr>
                <w:rFonts w:hint="eastAsia" w:ascii="宋体" w:hAnsi="宋体" w:cs="宋体"/>
                <w:szCs w:val="21"/>
              </w:rPr>
            </w:pPr>
            <w:r>
              <w:rPr>
                <w:rFonts w:hint="eastAsia" w:ascii="宋体" w:hAnsi="宋体" w:cs="宋体"/>
                <w:szCs w:val="21"/>
              </w:rPr>
              <w:t>套</w:t>
            </w:r>
          </w:p>
        </w:tc>
      </w:tr>
      <w:tr w14:paraId="6E334E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trHeight w:val="695" w:hRule="atLeast"/>
        </w:trPr>
        <w:tc>
          <w:tcPr>
            <w:tcW w:w="193" w:type="pct"/>
            <w:vAlign w:val="center"/>
          </w:tcPr>
          <w:p w14:paraId="6478DD8C">
            <w:pPr>
              <w:jc w:val="center"/>
              <w:rPr>
                <w:rFonts w:hint="eastAsia" w:ascii="宋体" w:hAnsi="宋体" w:cs="宋体"/>
                <w:b/>
                <w:bCs/>
                <w:szCs w:val="21"/>
              </w:rPr>
            </w:pPr>
            <w:r>
              <w:rPr>
                <w:rFonts w:hint="eastAsia" w:ascii="宋体" w:hAnsi="宋体" w:cs="宋体"/>
                <w:szCs w:val="21"/>
              </w:rPr>
              <w:t>12</w:t>
            </w:r>
          </w:p>
        </w:tc>
        <w:tc>
          <w:tcPr>
            <w:tcW w:w="536" w:type="pct"/>
            <w:vAlign w:val="center"/>
          </w:tcPr>
          <w:p w14:paraId="0BD82306">
            <w:pPr>
              <w:pStyle w:val="80"/>
              <w:jc w:val="center"/>
              <w:rPr>
                <w:rFonts w:hint="eastAsia" w:ascii="宋体" w:hAnsi="宋体" w:cs="宋体"/>
              </w:rPr>
            </w:pPr>
            <w:r>
              <w:rPr>
                <w:rFonts w:hint="eastAsia" w:ascii="宋体" w:hAnsi="宋体" w:cs="宋体"/>
              </w:rPr>
              <w:t>新能源汽车驱动控制实训台智能化教学系统</w:t>
            </w:r>
          </w:p>
        </w:tc>
        <w:tc>
          <w:tcPr>
            <w:tcW w:w="3571" w:type="pct"/>
            <w:vAlign w:val="center"/>
          </w:tcPr>
          <w:p w14:paraId="7DC44483">
            <w:pPr>
              <w:pStyle w:val="80"/>
              <w:ind w:left="105" w:leftChars="50"/>
              <w:jc w:val="left"/>
              <w:rPr>
                <w:rFonts w:hint="eastAsia" w:ascii="宋体" w:hAnsi="宋体" w:cs="宋体"/>
              </w:rPr>
            </w:pPr>
            <w:r>
              <w:rPr>
                <w:rFonts w:hint="eastAsia" w:ascii="宋体" w:hAnsi="宋体" w:cs="宋体"/>
              </w:rPr>
              <w:t>一、软件要求：</w:t>
            </w:r>
            <w:r>
              <w:rPr>
                <w:rFonts w:hint="eastAsia" w:ascii="宋体" w:hAnsi="宋体" w:cs="宋体"/>
              </w:rPr>
              <w:br w:type="textWrapping"/>
            </w:r>
            <w:r>
              <w:rPr>
                <w:rFonts w:hint="eastAsia" w:ascii="宋体" w:hAnsi="宋体" w:cs="宋体"/>
              </w:rPr>
              <w:t>1、采用C/S架构开发，模块化设计，稳定可靠，软件为单机版。该软件结合教学硬件配套开发，需与下位机硬件同步实现。上位机软件配置可视化图文界面，可操控下位机硬件设备的上电、下电、运行、状态信息的设定、故障设置及原理展示等功能。便于学生对纯电动汽车驱动控制实训系统知识的掌握和了解。</w:t>
            </w:r>
            <w:r>
              <w:rPr>
                <w:rFonts w:hint="eastAsia" w:ascii="宋体" w:hAnsi="宋体" w:cs="宋体"/>
              </w:rPr>
              <w:br w:type="textWrapping"/>
            </w:r>
            <w:r>
              <w:rPr>
                <w:rFonts w:hint="eastAsia" w:ascii="宋体" w:hAnsi="宋体" w:cs="宋体"/>
              </w:rPr>
              <w:t>二、技术要求：</w:t>
            </w:r>
            <w:r>
              <w:rPr>
                <w:rFonts w:hint="eastAsia" w:ascii="宋体" w:hAnsi="宋体" w:cs="宋体"/>
              </w:rPr>
              <w:br w:type="textWrapping"/>
            </w:r>
            <w:r>
              <w:rPr>
                <w:rFonts w:hint="eastAsia" w:ascii="宋体" w:hAnsi="宋体" w:cs="宋体"/>
              </w:rPr>
              <w:t>1.CPU: Intel(R) Core(TM) i5-4210U 以上</w:t>
            </w:r>
            <w:r>
              <w:rPr>
                <w:rFonts w:hint="eastAsia" w:ascii="宋体" w:hAnsi="宋体" w:cs="宋体"/>
              </w:rPr>
              <w:br w:type="textWrapping"/>
            </w:r>
            <w:r>
              <w:rPr>
                <w:rFonts w:hint="eastAsia" w:ascii="宋体" w:hAnsi="宋体" w:cs="宋体"/>
              </w:rPr>
              <w:t>2.内存：DDR3 4G 以上</w:t>
            </w:r>
            <w:r>
              <w:rPr>
                <w:rFonts w:hint="eastAsia" w:ascii="宋体" w:hAnsi="宋体" w:cs="宋体"/>
              </w:rPr>
              <w:br w:type="textWrapping"/>
            </w:r>
            <w:r>
              <w:rPr>
                <w:rFonts w:hint="eastAsia" w:ascii="宋体" w:hAnsi="宋体" w:cs="宋体"/>
              </w:rPr>
              <w:t>3.操作系统：Microsoft Window7系统  64bit 以上</w:t>
            </w:r>
            <w:r>
              <w:rPr>
                <w:rFonts w:hint="eastAsia" w:ascii="宋体" w:hAnsi="宋体" w:cs="宋体"/>
              </w:rPr>
              <w:br w:type="textWrapping"/>
            </w:r>
            <w:r>
              <w:rPr>
                <w:rFonts w:hint="eastAsia" w:ascii="宋体" w:hAnsi="宋体" w:cs="宋体"/>
              </w:rPr>
              <w:t>4.硬盘：32G以上</w:t>
            </w:r>
            <w:r>
              <w:rPr>
                <w:rFonts w:hint="eastAsia" w:ascii="宋体" w:hAnsi="宋体" w:cs="宋体"/>
              </w:rPr>
              <w:br w:type="textWrapping"/>
            </w:r>
            <w:r>
              <w:rPr>
                <w:rFonts w:hint="eastAsia" w:ascii="宋体" w:hAnsi="宋体" w:cs="宋体"/>
              </w:rPr>
              <w:t>5.屏幕分辨率：1920X1080</w:t>
            </w:r>
            <w:r>
              <w:rPr>
                <w:rFonts w:hint="eastAsia" w:ascii="宋体" w:hAnsi="宋体" w:cs="宋体"/>
              </w:rPr>
              <w:br w:type="textWrapping"/>
            </w:r>
            <w:r>
              <w:rPr>
                <w:rFonts w:hint="eastAsia" w:ascii="宋体" w:hAnsi="宋体" w:cs="宋体"/>
              </w:rPr>
              <w:t>6.19寸液晶触摸屏一体机</w:t>
            </w:r>
            <w:r>
              <w:rPr>
                <w:rFonts w:hint="eastAsia" w:ascii="宋体" w:hAnsi="宋体" w:cs="宋体"/>
              </w:rPr>
              <w:br w:type="textWrapping"/>
            </w:r>
            <w:r>
              <w:rPr>
                <w:rFonts w:hint="eastAsia" w:ascii="宋体" w:hAnsi="宋体" w:cs="宋体"/>
              </w:rPr>
              <w:t>7.19寸工控触摸液晶显示器</w:t>
            </w:r>
            <w:r>
              <w:rPr>
                <w:rFonts w:hint="eastAsia" w:ascii="宋体" w:hAnsi="宋体" w:cs="宋体"/>
              </w:rPr>
              <w:br w:type="textWrapping"/>
            </w:r>
            <w:r>
              <w:rPr>
                <w:rFonts w:hint="eastAsia" w:ascii="宋体" w:hAnsi="宋体" w:cs="宋体"/>
              </w:rPr>
              <w:t>8.语言框架：.Net Framework 4.0</w:t>
            </w:r>
            <w:r>
              <w:rPr>
                <w:rFonts w:hint="eastAsia" w:ascii="宋体" w:hAnsi="宋体" w:cs="宋体"/>
              </w:rPr>
              <w:br w:type="textWrapping"/>
            </w:r>
            <w:r>
              <w:rPr>
                <w:rFonts w:hint="eastAsia" w:ascii="宋体" w:hAnsi="宋体" w:cs="宋体"/>
              </w:rPr>
              <w:t>9.媒体播放器：Windows Media Player 10以上</w:t>
            </w:r>
            <w:r>
              <w:rPr>
                <w:rFonts w:hint="eastAsia" w:ascii="宋体" w:hAnsi="宋体" w:cs="宋体"/>
              </w:rPr>
              <w:br w:type="textWrapping"/>
            </w:r>
            <w:r>
              <w:rPr>
                <w:rFonts w:hint="eastAsia" w:ascii="宋体" w:hAnsi="宋体" w:cs="宋体"/>
              </w:rPr>
              <w:t>10.字体库：Probert-Condensed-10</w:t>
            </w:r>
            <w:r>
              <w:rPr>
                <w:rFonts w:hint="eastAsia" w:ascii="宋体" w:hAnsi="宋体" w:cs="宋体"/>
              </w:rPr>
              <w:br w:type="textWrapping"/>
            </w:r>
            <w:r>
              <w:rPr>
                <w:rFonts w:hint="eastAsia" w:ascii="宋体" w:hAnsi="宋体" w:cs="宋体"/>
              </w:rPr>
              <w:t>11.otf和语音库：系统自带TTS引擎和VW Hui语音库</w:t>
            </w:r>
            <w:r>
              <w:rPr>
                <w:rFonts w:hint="eastAsia" w:ascii="宋体" w:hAnsi="宋体" w:cs="宋体"/>
              </w:rPr>
              <w:br w:type="textWrapping"/>
            </w:r>
            <w:r>
              <w:rPr>
                <w:rFonts w:hint="eastAsia" w:ascii="宋体" w:hAnsi="宋体" w:cs="宋体"/>
              </w:rPr>
              <w:t>12.通过CAN转USB串口设备对通信协议数据信息进行转换</w:t>
            </w:r>
            <w:r>
              <w:rPr>
                <w:rFonts w:hint="eastAsia" w:ascii="宋体" w:hAnsi="宋体" w:cs="宋体"/>
              </w:rPr>
              <w:br w:type="textWrapping"/>
            </w:r>
            <w:r>
              <w:rPr>
                <w:rFonts w:hint="eastAsia" w:ascii="宋体" w:hAnsi="宋体" w:cs="宋体"/>
              </w:rPr>
              <w:t>三、功能要求：</w:t>
            </w:r>
            <w:r>
              <w:rPr>
                <w:rFonts w:hint="eastAsia" w:ascii="宋体" w:hAnsi="宋体" w:cs="宋体"/>
              </w:rPr>
              <w:br w:type="textWrapping"/>
            </w:r>
            <w:r>
              <w:rPr>
                <w:rFonts w:hint="eastAsia" w:ascii="宋体" w:hAnsi="宋体" w:cs="宋体"/>
              </w:rPr>
              <w:t>1.本软件采用模块化设计原则，使用方便，配置灵活，配备控制器后台监控软件可随时对控制器控制策略升级更改；</w:t>
            </w:r>
            <w:r>
              <w:rPr>
                <w:rFonts w:hint="eastAsia" w:ascii="宋体" w:hAnsi="宋体" w:cs="宋体"/>
              </w:rPr>
              <w:br w:type="textWrapping"/>
            </w:r>
            <w:r>
              <w:rPr>
                <w:rFonts w:hint="eastAsia" w:ascii="宋体" w:hAnsi="宋体" w:cs="宋体"/>
              </w:rPr>
              <w:t>2.采用双屏控制，控制实训台运行方式、故障设置和原理展示，触屏A实时显示设备状态和运行数据（档位、工作状态、电源开关状态、驻坡模式、输出扭矩、主电机当前转速、故障等级、母线电压等信息），触屏B可随时播放实训台所配备的微课资源；</w:t>
            </w:r>
            <w:r>
              <w:rPr>
                <w:rFonts w:hint="eastAsia" w:ascii="宋体" w:hAnsi="宋体" w:cs="宋体"/>
              </w:rPr>
              <w:br w:type="textWrapping"/>
            </w:r>
            <w:r>
              <w:rPr>
                <w:rFonts w:hint="eastAsia" w:ascii="宋体" w:hAnsi="宋体" w:cs="宋体"/>
              </w:rPr>
              <w:t>3.后台控制软件：实训台配装电机控制器厂家原装控制软件，可以更改电机控制器多项运行参数：</w:t>
            </w:r>
            <w:r>
              <w:rPr>
                <w:rFonts w:hint="eastAsia" w:ascii="宋体" w:hAnsi="宋体" w:cs="宋体"/>
              </w:rPr>
              <w:br w:type="textWrapping"/>
            </w:r>
            <w:r>
              <w:rPr>
                <w:rFonts w:hint="eastAsia" w:ascii="宋体" w:hAnsi="宋体" w:cs="宋体"/>
              </w:rPr>
              <w:t>（1）驱动器参数配置功能；系统基本参数、常用功能、故障与保护、功能码管理、常用状态监视、常用功能码，以上参数均可根据用户需求做更改；</w:t>
            </w:r>
            <w:r>
              <w:rPr>
                <w:rFonts w:hint="eastAsia" w:ascii="宋体" w:hAnsi="宋体" w:cs="宋体"/>
              </w:rPr>
              <w:br w:type="textWrapping"/>
            </w:r>
            <w:r>
              <w:rPr>
                <w:rFonts w:hint="eastAsia" w:ascii="宋体" w:hAnsi="宋体" w:cs="宋体"/>
              </w:rPr>
              <w:t>（2）连续示波器功能；可以打开历史存储的波形文件、保存当前波形、截取当前屏幕图片、放大所指定区域、选择要抓取波形的通道、控制抓取波形和停止抓取波形、通道配置等多项功能；</w:t>
            </w:r>
            <w:r>
              <w:rPr>
                <w:rFonts w:hint="eastAsia" w:ascii="宋体" w:hAnsi="宋体" w:cs="宋体"/>
              </w:rPr>
              <w:br w:type="textWrapping"/>
            </w:r>
            <w:r>
              <w:rPr>
                <w:rFonts w:hint="eastAsia" w:ascii="宋体" w:hAnsi="宋体" w:cs="宋体"/>
              </w:rPr>
              <w:t>（3）故障记录功能;可以记录和直接显示最近10个控制器上发生的故障，每条故障都附有明确的数据信息，可以一键直接导出故障信息；</w:t>
            </w:r>
            <w:r>
              <w:rPr>
                <w:rFonts w:hint="eastAsia" w:ascii="宋体" w:hAnsi="宋体" w:cs="宋体"/>
              </w:rPr>
              <w:br w:type="textWrapping"/>
            </w:r>
            <w:r>
              <w:rPr>
                <w:rFonts w:hint="eastAsia" w:ascii="宋体" w:hAnsi="宋体" w:cs="宋体"/>
              </w:rPr>
              <w:t>（4）烧录功能：如有软件需要升级时，通过此项可一键将系统升级到最高版本；</w:t>
            </w:r>
            <w:r>
              <w:rPr>
                <w:rFonts w:hint="eastAsia" w:ascii="宋体" w:hAnsi="宋体" w:cs="宋体"/>
              </w:rPr>
              <w:br w:type="textWrapping"/>
            </w:r>
            <w:r>
              <w:rPr>
                <w:rFonts w:hint="eastAsia" w:ascii="宋体" w:hAnsi="宋体" w:cs="宋体"/>
              </w:rPr>
              <w:t>4.智能故障设置系统，故障设置装置与操控软件高度融合，通过RSTTL转USB串口设备对协议数据信息进行转换，实现操控软件上故障设置界面对故障进行设置，在控制仪表主界面中点击“故障设置”进入故障设置界面显示vcu控制故障、MCU供电继电器故障、高压直流正接触器故障、高压直流负接触器故障、CANA-H通讯故障、CANH-L通讯故障、油门踏板位置传感器信号2故障、油门踏板位置传感器接地故障、电机旋变正弦故障等18路通讯故障设置，随意设置任何故障底色颜色会有变化代表故障已设置，故障设置器系统采用多路故障设置输出，可同时设置一个或多个故障，所有故障都配有文字说明，颜色说明、可清晰看见所设置故障内容；</w:t>
            </w:r>
            <w:r>
              <w:rPr>
                <w:rFonts w:hint="eastAsia" w:ascii="宋体" w:hAnsi="宋体" w:cs="宋体"/>
              </w:rPr>
              <w:br w:type="textWrapping"/>
            </w:r>
            <w:r>
              <w:rPr>
                <w:rFonts w:hint="eastAsia" w:ascii="宋体" w:hAnsi="宋体" w:cs="宋体"/>
              </w:rPr>
              <w:t>5.汽车视频导航端，配备驱动系统工作原理高清视频IGBT原理、电机控制原理、电机冷却系统原理、电流传感器原理等资源软件触摸屏点击随意播放，例如点击IGBT原理播放看到IGBT原理、IGBT的特性、IGBT的电流流动方向以及组成结构动画和语言同步进行，有助于学员更加了解电机和电机控制器内部工作原理和组成结构，并且教师还可以通过资源上传端口上传本地课程资源视频，可同样播放；</w:t>
            </w:r>
            <w:r>
              <w:rPr>
                <w:rFonts w:hint="eastAsia" w:ascii="宋体" w:hAnsi="宋体" w:cs="宋体"/>
              </w:rPr>
              <w:br w:type="textWrapping"/>
            </w:r>
            <w:r>
              <w:rPr>
                <w:rFonts w:hint="eastAsia" w:ascii="宋体" w:hAnsi="宋体" w:cs="宋体"/>
              </w:rPr>
              <w:t>6.在电脑主界面上双击“汽车实训台”进入仪表主界面，在仪表界面底下有启动开关START、数据信息、故障设置、档位信息P、R、N、D。并且踩住刹车点击仪表左下角上“START”按钮实训台正常启动，在仪表主界面右下方显示档位信息P、R、N、D挡踩住刹车挂挡实训台电机可正常运行，点击“数据信息”里可实时显示系统电机运行功率、电机运行速度、上电信息、故障指示灯及故障等级，通过操控软件上的状态信息通道可实时查看到单位信息、工作状态、电源开关状态、驻坡模式、输出转矩、主电机当前转速、故障等级编号、故障等级、母线电流、母线电压、电机最大转矩、当前最大允许数车转矩、输出电流、电机温度、控制器温度、软件版本、控制模式、转速请求值、当前油门值、转矩请求值等多项信息，通过这些数据信息可深刻了解到实训台电机的运行数据。</w:t>
            </w:r>
            <w:r>
              <w:rPr>
                <w:rFonts w:hint="eastAsia" w:ascii="宋体" w:hAnsi="宋体" w:cs="宋体"/>
              </w:rPr>
              <w:br w:type="textWrapping"/>
            </w:r>
            <w:r>
              <w:rPr>
                <w:rFonts w:hint="eastAsia" w:ascii="宋体" w:hAnsi="宋体" w:cs="宋体"/>
              </w:rPr>
              <w:t>四、实训要求</w:t>
            </w:r>
            <w:r>
              <w:rPr>
                <w:rFonts w:hint="eastAsia" w:ascii="宋体" w:hAnsi="宋体" w:cs="宋体"/>
              </w:rPr>
              <w:br w:type="textWrapping"/>
            </w:r>
            <w:r>
              <w:rPr>
                <w:rFonts w:hint="eastAsia" w:ascii="宋体" w:hAnsi="宋体" w:cs="宋体"/>
              </w:rPr>
              <w:t>1.驱动电机控制器控制参数编写调整；</w:t>
            </w:r>
            <w:r>
              <w:rPr>
                <w:rFonts w:hint="eastAsia" w:ascii="宋体" w:hAnsi="宋体" w:cs="宋体"/>
              </w:rPr>
              <w:br w:type="textWrapping"/>
            </w:r>
            <w:r>
              <w:rPr>
                <w:rFonts w:hint="eastAsia" w:ascii="宋体" w:hAnsi="宋体" w:cs="宋体"/>
              </w:rPr>
              <w:t>2.驱动电机控制器通讯逻辑编写调整；</w:t>
            </w:r>
            <w:r>
              <w:rPr>
                <w:rFonts w:hint="eastAsia" w:ascii="宋体" w:hAnsi="宋体" w:cs="宋体"/>
              </w:rPr>
              <w:br w:type="textWrapping"/>
            </w:r>
            <w:r>
              <w:rPr>
                <w:rFonts w:hint="eastAsia" w:ascii="宋体" w:hAnsi="宋体" w:cs="宋体"/>
              </w:rPr>
              <w:t>3.驱动电机结构原理学习；</w:t>
            </w:r>
            <w:r>
              <w:rPr>
                <w:rFonts w:hint="eastAsia" w:ascii="宋体" w:hAnsi="宋体" w:cs="宋体"/>
              </w:rPr>
              <w:br w:type="textWrapping"/>
            </w:r>
            <w:r>
              <w:rPr>
                <w:rFonts w:hint="eastAsia" w:ascii="宋体" w:hAnsi="宋体" w:cs="宋体"/>
              </w:rPr>
              <w:t>4.旋转变压器结构原理分析。</w:t>
            </w:r>
            <w:r>
              <w:rPr>
                <w:rFonts w:hint="eastAsia" w:ascii="宋体" w:hAnsi="宋体" w:cs="宋体"/>
              </w:rPr>
              <w:br w:type="textWrapping"/>
            </w:r>
            <w:r>
              <w:rPr>
                <w:rFonts w:hint="eastAsia" w:ascii="宋体" w:hAnsi="宋体" w:cs="宋体"/>
              </w:rPr>
              <w:t>五、新能源汽车驱动控制实训台实训指导书技术要求：</w:t>
            </w:r>
            <w:r>
              <w:rPr>
                <w:rFonts w:hint="eastAsia" w:ascii="宋体" w:hAnsi="宋体" w:cs="宋体"/>
              </w:rPr>
              <w:br w:type="textWrapping"/>
            </w:r>
            <w:r>
              <w:rPr>
                <w:rFonts w:hint="eastAsia" w:ascii="宋体" w:hAnsi="宋体" w:cs="宋体"/>
              </w:rPr>
              <w:t>1.通过图文展示描述的方式，对新能源驱动控制系统的各个零部件的位置、工作原理和典型故障分析。本书通过设置5个学习任务，任务涵盖电机控制器MCU的检测与诊断、集成控制器VCU的检测与诊断、旋转变压器的故障诊断、加速踏板位置传感器的故障诊断和电机冷却系统检测等多个系统，可使学生充分学习理解电动汽车的组成和工作过程。</w:t>
            </w:r>
            <w:r>
              <w:rPr>
                <w:rFonts w:hint="eastAsia" w:ascii="宋体" w:hAnsi="宋体" w:cs="宋体"/>
              </w:rPr>
              <w:br w:type="textWrapping"/>
            </w:r>
            <w:r>
              <w:rPr>
                <w:rFonts w:hint="eastAsia" w:ascii="宋体" w:hAnsi="宋体" w:cs="宋体"/>
              </w:rPr>
              <w:t>2.每个学习任务开篇标有此任务的学习目标，和建议学时，方便教师把控在教学过程中对重难点内容的讲解和对课程时间分配的掌握。</w:t>
            </w:r>
            <w:r>
              <w:rPr>
                <w:rFonts w:hint="eastAsia" w:ascii="宋体" w:hAnsi="宋体" w:cs="宋体"/>
              </w:rPr>
              <w:br w:type="textWrapping"/>
            </w:r>
            <w:r>
              <w:rPr>
                <w:rFonts w:hint="eastAsia" w:ascii="宋体" w:hAnsi="宋体" w:cs="宋体"/>
              </w:rPr>
              <w:t>3.每个任务的“学习拓展”板块，采用文字、图片和表格的形式对知识点进行讲解，从技术的历史由来，到当前流行通用的技术进行原理展示和线路图分析。对当前教学任务的重点难点进行详尽的分析描述之外，还对和此部件所相关的知识内容进行扩展。让学生在学习完课内的知识内容外，还额外的掌握了更加有深度的内容，对打开学生思维、引导学生进行思考，提高学生的学习热情。</w:t>
            </w:r>
            <w:r>
              <w:rPr>
                <w:rFonts w:hint="eastAsia" w:ascii="宋体" w:hAnsi="宋体" w:cs="宋体"/>
              </w:rPr>
              <w:br w:type="textWrapping"/>
            </w:r>
            <w:r>
              <w:rPr>
                <w:rFonts w:hint="eastAsia" w:ascii="宋体" w:hAnsi="宋体" w:cs="宋体"/>
              </w:rPr>
              <w:t>4.在对理论内容讲解完成后，还设置了课程实训版块，版块内采用文字、图片和表格的形式对所学内容进行实训。图片采用实车、实表拍摄，保证图片内容和教学过程中所使用的教学设备完全相同，充分还原了学生在实训时需要测量插头接口和测量的数据。引领学生在实践操作中找到故障并对故障进行排除。并且可以学会正确穿戴防护设备和工具的使用。</w:t>
            </w:r>
            <w:r>
              <w:rPr>
                <w:rFonts w:hint="eastAsia" w:ascii="宋体" w:hAnsi="宋体" w:cs="宋体"/>
              </w:rPr>
              <w:br w:type="textWrapping"/>
            </w:r>
            <w:r>
              <w:rPr>
                <w:rFonts w:hint="eastAsia" w:ascii="宋体" w:hAnsi="宋体" w:cs="宋体"/>
              </w:rPr>
              <w:t>5.章节最后的自测题可以帮助学生巩固课上所学习的内容，并对课上的重难点内容进行复习，形成课前预习-课上学习-课后复习的完整的学习链。</w:t>
            </w:r>
          </w:p>
        </w:tc>
        <w:tc>
          <w:tcPr>
            <w:tcW w:w="357" w:type="pct"/>
            <w:vAlign w:val="center"/>
          </w:tcPr>
          <w:p w14:paraId="6D8563A7">
            <w:pPr>
              <w:jc w:val="center"/>
              <w:rPr>
                <w:rFonts w:hint="eastAsia" w:ascii="宋体" w:hAnsi="宋体" w:cs="宋体"/>
                <w:szCs w:val="21"/>
              </w:rPr>
            </w:pPr>
            <w:r>
              <w:rPr>
                <w:rFonts w:hint="eastAsia" w:ascii="宋体" w:hAnsi="宋体" w:cs="宋体"/>
                <w:szCs w:val="21"/>
              </w:rPr>
              <w:t>1</w:t>
            </w:r>
          </w:p>
        </w:tc>
        <w:tc>
          <w:tcPr>
            <w:tcW w:w="341" w:type="pct"/>
            <w:vAlign w:val="center"/>
          </w:tcPr>
          <w:p w14:paraId="314CE67E">
            <w:pPr>
              <w:jc w:val="center"/>
              <w:rPr>
                <w:rFonts w:hint="eastAsia" w:ascii="宋体" w:hAnsi="宋体" w:cs="宋体"/>
                <w:szCs w:val="21"/>
              </w:rPr>
            </w:pPr>
            <w:r>
              <w:rPr>
                <w:rFonts w:hint="eastAsia" w:ascii="宋体" w:hAnsi="宋体" w:cs="宋体"/>
                <w:szCs w:val="21"/>
              </w:rPr>
              <w:t>套</w:t>
            </w:r>
          </w:p>
        </w:tc>
      </w:tr>
      <w:tr w14:paraId="21FBCE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trHeight w:val="695" w:hRule="atLeast"/>
        </w:trPr>
        <w:tc>
          <w:tcPr>
            <w:tcW w:w="193" w:type="pct"/>
            <w:vAlign w:val="center"/>
          </w:tcPr>
          <w:p w14:paraId="414855F3">
            <w:pPr>
              <w:jc w:val="center"/>
              <w:rPr>
                <w:rFonts w:hint="eastAsia" w:ascii="宋体" w:hAnsi="宋体" w:cs="宋体"/>
                <w:b/>
                <w:bCs/>
                <w:szCs w:val="21"/>
              </w:rPr>
            </w:pPr>
            <w:r>
              <w:rPr>
                <w:rFonts w:hint="eastAsia" w:ascii="宋体" w:hAnsi="宋体" w:cs="宋体"/>
                <w:szCs w:val="21"/>
              </w:rPr>
              <w:t>13</w:t>
            </w:r>
          </w:p>
        </w:tc>
        <w:tc>
          <w:tcPr>
            <w:tcW w:w="536" w:type="pct"/>
            <w:vAlign w:val="center"/>
          </w:tcPr>
          <w:p w14:paraId="0F1613BC">
            <w:pPr>
              <w:pStyle w:val="80"/>
              <w:jc w:val="center"/>
              <w:rPr>
                <w:rFonts w:hint="eastAsia" w:ascii="宋体" w:hAnsi="宋体" w:cs="宋体"/>
              </w:rPr>
            </w:pPr>
            <w:r>
              <w:rPr>
                <w:rFonts w:hint="eastAsia" w:ascii="宋体" w:hAnsi="宋体" w:cs="宋体"/>
              </w:rPr>
              <w:t>动力电池PACK 装调与检测技术平台</w:t>
            </w:r>
          </w:p>
        </w:tc>
        <w:tc>
          <w:tcPr>
            <w:tcW w:w="3571" w:type="pct"/>
            <w:vAlign w:val="center"/>
          </w:tcPr>
          <w:p w14:paraId="5CFFDF93">
            <w:pPr>
              <w:pStyle w:val="80"/>
              <w:ind w:left="105" w:leftChars="50"/>
              <w:jc w:val="left"/>
              <w:rPr>
                <w:rFonts w:hint="eastAsia" w:ascii="宋体" w:hAnsi="宋体" w:cs="宋体"/>
              </w:rPr>
            </w:pPr>
            <w:r>
              <w:rPr>
                <w:rFonts w:hint="eastAsia" w:ascii="宋体" w:hAnsi="宋体" w:cs="宋体"/>
              </w:rPr>
              <w:t>一、产品简介:</w:t>
            </w:r>
            <w:r>
              <w:rPr>
                <w:rFonts w:hint="eastAsia" w:ascii="宋体" w:hAnsi="宋体" w:cs="宋体"/>
              </w:rPr>
              <w:br w:type="textWrapping"/>
            </w:r>
            <w:r>
              <w:rPr>
                <w:rFonts w:hint="eastAsia" w:ascii="宋体" w:hAnsi="宋体" w:cs="宋体"/>
              </w:rPr>
              <w:t>1、该产品针对职业院校新能源汽车动力电池PACK组装技术定向开发，采用当代最前沿的生产及装调技术设计，可进行新能源汽车动力电池PACK 组装与调试教学。</w:t>
            </w:r>
            <w:r>
              <w:rPr>
                <w:rFonts w:hint="eastAsia" w:ascii="宋体" w:hAnsi="宋体" w:cs="宋体"/>
              </w:rPr>
              <w:br w:type="textWrapping"/>
            </w:r>
            <w:r>
              <w:rPr>
                <w:rFonts w:hint="eastAsia" w:ascii="宋体" w:hAnsi="宋体" w:cs="宋体"/>
              </w:rPr>
              <w:t>二、产品功能要求:</w:t>
            </w:r>
            <w:r>
              <w:rPr>
                <w:rFonts w:hint="eastAsia" w:ascii="宋体" w:hAnsi="宋体" w:cs="宋体"/>
              </w:rPr>
              <w:br w:type="textWrapping"/>
            </w:r>
            <w:r>
              <w:rPr>
                <w:rFonts w:hint="eastAsia" w:ascii="宋体" w:hAnsi="宋体" w:cs="宋体"/>
              </w:rPr>
              <w:t>1、产品由动力电池PACK装调实训台组成。</w:t>
            </w:r>
            <w:r>
              <w:rPr>
                <w:rFonts w:hint="eastAsia" w:ascii="宋体" w:hAnsi="宋体" w:cs="宋体"/>
              </w:rPr>
              <w:br w:type="textWrapping"/>
            </w:r>
            <w:r>
              <w:rPr>
                <w:rFonts w:hint="eastAsia" w:ascii="宋体" w:hAnsi="宋体" w:cs="宋体"/>
              </w:rPr>
              <w:t>2、装调实训台配置智能交互系统。</w:t>
            </w:r>
            <w:r>
              <w:rPr>
                <w:rFonts w:hint="eastAsia" w:ascii="宋体" w:hAnsi="宋体" w:cs="宋体"/>
              </w:rPr>
              <w:br w:type="textWrapping"/>
            </w:r>
            <w:r>
              <w:rPr>
                <w:rFonts w:hint="eastAsia" w:ascii="宋体" w:hAnsi="宋体" w:cs="宋体"/>
              </w:rPr>
              <w:t>3、装调实训台包含四个电池组模块，电池采用磷酸铁锂动力电池组成，单体容量20AH，</w:t>
            </w:r>
            <w:r>
              <w:rPr>
                <w:rFonts w:hint="eastAsia" w:ascii="宋体" w:hAnsi="宋体" w:cs="宋体"/>
              </w:rPr>
              <w:br w:type="textWrapping"/>
            </w:r>
            <w:r>
              <w:rPr>
                <w:rFonts w:hint="eastAsia" w:ascii="宋体" w:hAnsi="宋体" w:cs="宋体"/>
              </w:rPr>
              <w:t>4、配置车规级分布式电池管理系统，电池组装完成后可通过设备配套的智能交互系统与分布式电池管理系统进行数据交互，完成动力电池组的相关数据监控。（投标文件中需提供电池组的相关数据监控功能截图）</w:t>
            </w:r>
            <w:r>
              <w:rPr>
                <w:rFonts w:hint="eastAsia" w:ascii="宋体" w:hAnsi="宋体" w:cs="宋体"/>
              </w:rPr>
              <w:br w:type="textWrapping"/>
            </w:r>
            <w:r>
              <w:rPr>
                <w:rFonts w:hint="eastAsia" w:ascii="宋体" w:hAnsi="宋体" w:cs="宋体"/>
              </w:rPr>
              <w:t>5、技术平台配置国标交流充电口与车载充电机，数据标定完成后可对电池包进行充电测试，完成充电线路原理与实训教学。</w:t>
            </w:r>
            <w:r>
              <w:rPr>
                <w:rFonts w:hint="eastAsia" w:ascii="宋体" w:hAnsi="宋体" w:cs="宋体"/>
              </w:rPr>
              <w:br w:type="textWrapping"/>
            </w:r>
            <w:r>
              <w:rPr>
                <w:rFonts w:hint="eastAsia" w:ascii="宋体" w:hAnsi="宋体" w:cs="宋体"/>
              </w:rPr>
              <w:t>6、实训台配套交流充电枪，方便学员进行充电线路测试，平台支持国标7kw及以下交流充电桩充电。</w:t>
            </w:r>
            <w:r>
              <w:rPr>
                <w:rFonts w:hint="eastAsia" w:ascii="宋体" w:hAnsi="宋体" w:cs="宋体"/>
              </w:rPr>
              <w:br w:type="textWrapping"/>
            </w:r>
            <w:r>
              <w:rPr>
                <w:rFonts w:hint="eastAsia" w:ascii="宋体" w:hAnsi="宋体" w:cs="宋体"/>
              </w:rPr>
              <w:t>7、平台配套模拟负载系统，可完成动力电池组的放电原理线路的调试。</w:t>
            </w:r>
            <w:r>
              <w:rPr>
                <w:rFonts w:hint="eastAsia" w:ascii="宋体" w:hAnsi="宋体" w:cs="宋体"/>
              </w:rPr>
              <w:br w:type="textWrapping"/>
            </w:r>
            <w:r>
              <w:rPr>
                <w:rFonts w:hint="eastAsia" w:ascii="宋体" w:hAnsi="宋体" w:cs="宋体"/>
              </w:rPr>
              <w:t>8、该平台配置高压配电箱模块，可完成高压上下电控制线路原理的调试教学。</w:t>
            </w:r>
            <w:r>
              <w:rPr>
                <w:rFonts w:hint="eastAsia" w:ascii="宋体" w:hAnsi="宋体" w:cs="宋体"/>
              </w:rPr>
              <w:br w:type="textWrapping"/>
            </w:r>
            <w:r>
              <w:rPr>
                <w:rFonts w:hint="eastAsia" w:ascii="宋体" w:hAnsi="宋体" w:cs="宋体"/>
              </w:rPr>
              <w:t>9、实训台充电模块、高压配电箱模块及分布式电池管理系统模块采用透明亚克力面板封装，可直观展现各模块的形态及模块间的线路连接状态。</w:t>
            </w:r>
            <w:r>
              <w:rPr>
                <w:rFonts w:hint="eastAsia" w:ascii="宋体" w:hAnsi="宋体" w:cs="宋体"/>
              </w:rPr>
              <w:br w:type="textWrapping"/>
            </w:r>
            <w:r>
              <w:rPr>
                <w:rFonts w:hint="eastAsia" w:ascii="宋体" w:hAnsi="宋体" w:cs="宋体"/>
              </w:rPr>
              <w:t>10、技术平台配置简易放电负载，同时可通过交流充电口对外放电，可与驱动系统装调与检测技术互联，为电机控制器提供能量。（投标文件中需提供实物图片）</w:t>
            </w:r>
            <w:r>
              <w:rPr>
                <w:rFonts w:hint="eastAsia" w:ascii="宋体" w:hAnsi="宋体" w:cs="宋体"/>
              </w:rPr>
              <w:br w:type="textWrapping"/>
            </w:r>
            <w:r>
              <w:rPr>
                <w:rFonts w:hint="eastAsia" w:ascii="宋体" w:hAnsi="宋体" w:cs="宋体"/>
              </w:rPr>
              <w:t>11、平台制作材料选用坚固冷轧钢板，经过严格的脱脂、酸洗、防锈磷化、纯水清洗、静电喷涂等工艺流程，色泽自然、稳定性高、不易变形、耐水、耐老化，</w:t>
            </w:r>
            <w:r>
              <w:rPr>
                <w:rFonts w:hint="eastAsia" w:ascii="宋体" w:hAnsi="宋体" w:cs="宋体"/>
              </w:rPr>
              <w:br w:type="textWrapping"/>
            </w:r>
            <w:r>
              <w:rPr>
                <w:rFonts w:hint="eastAsia" w:ascii="宋体" w:hAnsi="宋体" w:cs="宋体"/>
              </w:rPr>
              <w:t>12、设备配套双开门柜子</w:t>
            </w:r>
            <w:r>
              <w:rPr>
                <w:rFonts w:hint="eastAsia" w:ascii="宋体" w:hAnsi="宋体" w:cs="宋体"/>
              </w:rPr>
              <w:br w:type="textWrapping"/>
            </w:r>
            <w:r>
              <w:rPr>
                <w:rFonts w:hint="eastAsia" w:ascii="宋体" w:hAnsi="宋体" w:cs="宋体"/>
              </w:rPr>
              <w:t>13、设备底部配套双刹车万向脚轮锁止机构，表面采用优质镀锌工艺，保证了脚轮机构的强度和硬度。内部采用精密钢珠，可实现全方位旋转，环保静音，更安全。刹车系统采用大螺纹固定刹车片，刹的更稳，更牢固。</w:t>
            </w:r>
            <w:r>
              <w:rPr>
                <w:rFonts w:hint="eastAsia" w:ascii="宋体" w:hAnsi="宋体" w:cs="宋体"/>
              </w:rPr>
              <w:br w:type="textWrapping"/>
            </w:r>
            <w:r>
              <w:rPr>
                <w:rFonts w:hint="eastAsia" w:ascii="宋体" w:hAnsi="宋体" w:cs="宋体"/>
              </w:rPr>
              <w:t>三、智能教学系统软件技术要求：</w:t>
            </w:r>
            <w:r>
              <w:rPr>
                <w:rFonts w:hint="eastAsia" w:ascii="宋体" w:hAnsi="宋体" w:cs="宋体"/>
              </w:rPr>
              <w:br w:type="textWrapping"/>
            </w:r>
            <w:r>
              <w:rPr>
                <w:rFonts w:hint="eastAsia" w:ascii="宋体" w:hAnsi="宋体" w:cs="宋体"/>
              </w:rPr>
              <w:t>1、智能教学系统可对组装后电池组进行标定与动态检测，并可通过人机交互界面对动力电池PACK实训台进行图形化控制，方便学生对电池组的数据分析与标定。</w:t>
            </w:r>
            <w:r>
              <w:rPr>
                <w:rFonts w:hint="eastAsia" w:ascii="宋体" w:hAnsi="宋体" w:cs="宋体"/>
              </w:rPr>
              <w:br w:type="textWrapping"/>
            </w:r>
            <w:r>
              <w:rPr>
                <w:rFonts w:hint="eastAsia" w:ascii="宋体" w:hAnsi="宋体" w:cs="宋体"/>
              </w:rPr>
              <w:t>2、智能教学系统安装在MiniPC 上，信息通过43寸高清多媒体动态显示。</w:t>
            </w:r>
            <w:r>
              <w:rPr>
                <w:rFonts w:hint="eastAsia" w:ascii="宋体" w:hAnsi="宋体" w:cs="宋体"/>
              </w:rPr>
              <w:br w:type="textWrapping"/>
            </w:r>
            <w:r>
              <w:rPr>
                <w:rFonts w:hint="eastAsia" w:ascii="宋体" w:hAnsi="宋体" w:cs="宋体"/>
              </w:rPr>
              <w:t>3、系统可实时检测CAN设备、M1203等通讯设备的连接状态，并能对检测结果进行判定，异常时会上报相应的错误提示。并且可以对插拔的M1203串口进行自动检测与通讯恢复。</w:t>
            </w:r>
            <w:r>
              <w:rPr>
                <w:rFonts w:hint="eastAsia" w:ascii="宋体" w:hAnsi="宋体" w:cs="宋体"/>
              </w:rPr>
              <w:br w:type="textWrapping"/>
            </w:r>
            <w:r>
              <w:rPr>
                <w:rFonts w:hint="eastAsia" w:ascii="宋体" w:hAnsi="宋体" w:cs="宋体"/>
              </w:rPr>
              <w:t>4、系统具有理论、实训、调试等三大主要功能。</w:t>
            </w:r>
            <w:r>
              <w:rPr>
                <w:rFonts w:hint="eastAsia" w:ascii="宋体" w:hAnsi="宋体" w:cs="宋体"/>
              </w:rPr>
              <w:br w:type="textWrapping"/>
            </w:r>
            <w:r>
              <w:rPr>
                <w:rFonts w:hint="eastAsia" w:ascii="宋体" w:hAnsi="宋体" w:cs="宋体"/>
              </w:rPr>
              <w:t>（1）理论</w:t>
            </w:r>
            <w:r>
              <w:rPr>
                <w:rFonts w:hint="eastAsia" w:ascii="宋体" w:hAnsi="宋体" w:cs="宋体"/>
              </w:rPr>
              <w:br w:type="textWrapping"/>
            </w:r>
            <w:r>
              <w:rPr>
                <w:rFonts w:hint="eastAsia" w:ascii="宋体" w:hAnsi="宋体" w:cs="宋体"/>
              </w:rPr>
              <w:t>①理论模式内置丰富的视频资源与文本资源，视频资源分为本地资源和在线资源；视频播放时可暂停，可全屏，可调整音量，屏幕右侧显示课程资源名称。</w:t>
            </w:r>
            <w:r>
              <w:rPr>
                <w:rFonts w:hint="eastAsia" w:ascii="宋体" w:hAnsi="宋体" w:cs="宋体"/>
              </w:rPr>
              <w:br w:type="textWrapping"/>
            </w:r>
            <w:r>
              <w:rPr>
                <w:rFonts w:hint="eastAsia" w:ascii="宋体" w:hAnsi="宋体" w:cs="宋体"/>
              </w:rPr>
              <w:t>②软件具有资源添加功能，支持视频、文本、图片、flash等格式。</w:t>
            </w:r>
            <w:r>
              <w:rPr>
                <w:rFonts w:hint="eastAsia" w:ascii="宋体" w:hAnsi="宋体" w:cs="宋体"/>
              </w:rPr>
              <w:br w:type="textWrapping"/>
            </w:r>
            <w:r>
              <w:rPr>
                <w:rFonts w:hint="eastAsia" w:ascii="宋体" w:hAnsi="宋体" w:cs="宋体"/>
              </w:rPr>
              <w:t>③视频资源具有循环播放功能。</w:t>
            </w:r>
            <w:r>
              <w:rPr>
                <w:rFonts w:hint="eastAsia" w:ascii="宋体" w:hAnsi="宋体" w:cs="宋体"/>
              </w:rPr>
              <w:br w:type="textWrapping"/>
            </w:r>
            <w:r>
              <w:rPr>
                <w:rFonts w:hint="eastAsia" w:ascii="宋体" w:hAnsi="宋体" w:cs="宋体"/>
              </w:rPr>
              <w:t>（2）实训</w:t>
            </w:r>
            <w:r>
              <w:rPr>
                <w:rFonts w:hint="eastAsia" w:ascii="宋体" w:hAnsi="宋体" w:cs="宋体"/>
              </w:rPr>
              <w:br w:type="textWrapping"/>
            </w:r>
            <w:r>
              <w:rPr>
                <w:rFonts w:hint="eastAsia" w:ascii="宋体" w:hAnsi="宋体" w:cs="宋体"/>
              </w:rPr>
              <w:t>实训模式图形化动态显示动力电池组总电压，电池均温，单体电池电压，单体电池最高电压、单体电池最低电压、单体电池温度，单体电池最高温度、单体电池最低温度、电流，SOC等数据信息。电池单体信息可在四个模组之间切换。（投标文件中需提供实训模式图形化动态显示功能截图）</w:t>
            </w:r>
            <w:r>
              <w:rPr>
                <w:rFonts w:hint="eastAsia" w:ascii="宋体" w:hAnsi="宋体" w:cs="宋体"/>
              </w:rPr>
              <w:br w:type="textWrapping"/>
            </w:r>
            <w:r>
              <w:rPr>
                <w:rFonts w:hint="eastAsia" w:ascii="宋体" w:hAnsi="宋体" w:cs="宋体"/>
              </w:rPr>
              <w:t>点击放电按钮，页面可显示放电电流，剩余放电时间等信息。</w:t>
            </w:r>
            <w:r>
              <w:rPr>
                <w:rFonts w:hint="eastAsia" w:ascii="宋体" w:hAnsi="宋体" w:cs="宋体"/>
              </w:rPr>
              <w:br w:type="textWrapping"/>
            </w:r>
            <w:r>
              <w:rPr>
                <w:rFonts w:hint="eastAsia" w:ascii="宋体" w:hAnsi="宋体" w:cs="宋体"/>
              </w:rPr>
              <w:t>点击充电按钮，连接充电枪，正常情况下，页面显示充电枪连接状态，CC、CP，充电电流，充电剩余时间等信息。</w:t>
            </w:r>
            <w:r>
              <w:rPr>
                <w:rFonts w:hint="eastAsia" w:ascii="宋体" w:hAnsi="宋体" w:cs="宋体"/>
              </w:rPr>
              <w:br w:type="textWrapping"/>
            </w:r>
            <w:r>
              <w:rPr>
                <w:rFonts w:hint="eastAsia" w:ascii="宋体" w:hAnsi="宋体" w:cs="宋体"/>
              </w:rPr>
              <w:t>（3）调试</w:t>
            </w:r>
            <w:r>
              <w:rPr>
                <w:rFonts w:hint="eastAsia" w:ascii="宋体" w:hAnsi="宋体" w:cs="宋体"/>
              </w:rPr>
              <w:br w:type="textWrapping"/>
            </w:r>
            <w:r>
              <w:rPr>
                <w:rFonts w:hint="eastAsia" w:ascii="宋体" w:hAnsi="宋体" w:cs="宋体"/>
              </w:rPr>
              <w:t>①点击调试按钮可进入调试界面，调试数据信息呈列表形式显示，包含：总压过高、单体过高、放电高温、充电高温、压差过大、放电过流、soc过低、当前SOC、总压过低、单体过低、放电低温、充电低温、温差过大、充电过流、绝缘过低、电池容量等数据，每条数据分三个告警等级，可进行编辑修改。</w:t>
            </w:r>
            <w:r>
              <w:rPr>
                <w:rFonts w:hint="eastAsia" w:ascii="宋体" w:hAnsi="宋体" w:cs="宋体"/>
              </w:rPr>
              <w:br w:type="textWrapping"/>
            </w:r>
            <w:r>
              <w:rPr>
                <w:rFonts w:hint="eastAsia" w:ascii="宋体" w:hAnsi="宋体" w:cs="宋体"/>
              </w:rPr>
              <w:t>②软件具有接触器检测功能。并可将采集的数据通过canbus实时反馈至教学系统。可实时检测总正继电器、总负继电器、预充继电器、放电继电器、慢充继电器、快充继电器等。</w:t>
            </w:r>
            <w:r>
              <w:rPr>
                <w:rFonts w:hint="eastAsia" w:ascii="宋体" w:hAnsi="宋体" w:cs="宋体"/>
              </w:rPr>
              <w:br w:type="textWrapping"/>
            </w:r>
            <w:r>
              <w:rPr>
                <w:rFonts w:hint="eastAsia" w:ascii="宋体" w:hAnsi="宋体" w:cs="宋体"/>
              </w:rPr>
              <w:t>③接触器工作时，软件界面对应按钮可呈突出显示，学员也可通过鼠标控制接触器的断开与吸合，从而验证设备的工作状态。</w:t>
            </w:r>
            <w:r>
              <w:rPr>
                <w:rFonts w:hint="eastAsia" w:ascii="宋体" w:hAnsi="宋体" w:cs="宋体"/>
              </w:rPr>
              <w:br w:type="textWrapping"/>
            </w:r>
            <w:r>
              <w:rPr>
                <w:rFonts w:hint="eastAsia" w:ascii="宋体" w:hAnsi="宋体" w:cs="宋体"/>
              </w:rPr>
              <w:t>④充电模式具有自动充电模式和手动充电模式功能，模式可任意切换。</w:t>
            </w:r>
            <w:r>
              <w:rPr>
                <w:rFonts w:hint="eastAsia" w:ascii="宋体" w:hAnsi="宋体" w:cs="宋体"/>
              </w:rPr>
              <w:br w:type="textWrapping"/>
            </w:r>
            <w:r>
              <w:rPr>
                <w:rFonts w:hint="eastAsia" w:ascii="宋体" w:hAnsi="宋体" w:cs="宋体"/>
              </w:rPr>
              <w:t>⑤软件具有展示数据流功能，点击展示数据流按钮，可动态显示动力电池管理系统相关数据流，包含：系统电压、系统总电流、系统SOC、系统运行状态、充电枪连接状态、充电状态、充电枪充电模式和状态、绝缘正阻值、绝缘负阻值、CC电阻值、CC2电阻值、电池温差、CP占空比、高压互锁状态、与整车通讯状态、充电机通讯状态、交流充电枪座温度等信息。（投标文件中需提供软件具有展示数据流功能截图）</w:t>
            </w:r>
            <w:r>
              <w:rPr>
                <w:rFonts w:hint="eastAsia" w:ascii="宋体" w:hAnsi="宋体" w:cs="宋体"/>
              </w:rPr>
              <w:br w:type="textWrapping"/>
            </w:r>
            <w:r>
              <w:rPr>
                <w:rFonts w:hint="eastAsia" w:ascii="宋体" w:hAnsi="宋体" w:cs="宋体"/>
              </w:rPr>
              <w:t>⑥软件具有恢复默认设置功能，可对标定后的数据进行一键恢复</w:t>
            </w:r>
          </w:p>
        </w:tc>
        <w:tc>
          <w:tcPr>
            <w:tcW w:w="357" w:type="pct"/>
            <w:vAlign w:val="center"/>
          </w:tcPr>
          <w:p w14:paraId="5F30E0CB">
            <w:pPr>
              <w:jc w:val="center"/>
              <w:rPr>
                <w:rFonts w:hint="eastAsia" w:ascii="宋体" w:hAnsi="宋体" w:cs="宋体"/>
                <w:szCs w:val="21"/>
              </w:rPr>
            </w:pPr>
            <w:r>
              <w:rPr>
                <w:rFonts w:hint="eastAsia" w:ascii="宋体" w:hAnsi="宋体" w:cs="宋体"/>
                <w:szCs w:val="21"/>
              </w:rPr>
              <w:t>1</w:t>
            </w:r>
          </w:p>
        </w:tc>
        <w:tc>
          <w:tcPr>
            <w:tcW w:w="341" w:type="pct"/>
            <w:vAlign w:val="center"/>
          </w:tcPr>
          <w:p w14:paraId="712CB624">
            <w:pPr>
              <w:jc w:val="center"/>
              <w:rPr>
                <w:rFonts w:hint="eastAsia" w:ascii="宋体" w:hAnsi="宋体" w:cs="宋体"/>
                <w:szCs w:val="21"/>
              </w:rPr>
            </w:pPr>
          </w:p>
          <w:p w14:paraId="5B548095">
            <w:pPr>
              <w:jc w:val="center"/>
              <w:rPr>
                <w:rFonts w:hint="eastAsia" w:ascii="宋体" w:hAnsi="宋体" w:cs="宋体"/>
                <w:szCs w:val="21"/>
              </w:rPr>
            </w:pPr>
          </w:p>
          <w:p w14:paraId="53D5B78F">
            <w:pPr>
              <w:jc w:val="center"/>
              <w:rPr>
                <w:rFonts w:hint="eastAsia" w:ascii="宋体" w:hAnsi="宋体" w:cs="宋体"/>
                <w:szCs w:val="21"/>
              </w:rPr>
            </w:pPr>
          </w:p>
          <w:p w14:paraId="48EFC436">
            <w:pPr>
              <w:jc w:val="center"/>
              <w:rPr>
                <w:rFonts w:hint="eastAsia" w:ascii="宋体" w:hAnsi="宋体" w:cs="宋体"/>
                <w:szCs w:val="21"/>
              </w:rPr>
            </w:pPr>
          </w:p>
          <w:p w14:paraId="31472E99">
            <w:pPr>
              <w:jc w:val="center"/>
              <w:rPr>
                <w:rFonts w:hint="eastAsia" w:ascii="宋体" w:hAnsi="宋体" w:cs="宋体"/>
                <w:szCs w:val="21"/>
              </w:rPr>
            </w:pPr>
          </w:p>
          <w:p w14:paraId="12D37B67">
            <w:pPr>
              <w:jc w:val="center"/>
              <w:rPr>
                <w:rFonts w:hint="eastAsia" w:ascii="宋体" w:hAnsi="宋体" w:cs="宋体"/>
                <w:szCs w:val="21"/>
              </w:rPr>
            </w:pPr>
          </w:p>
          <w:p w14:paraId="5631CD66">
            <w:pPr>
              <w:jc w:val="center"/>
              <w:rPr>
                <w:rFonts w:hint="eastAsia" w:ascii="宋体" w:hAnsi="宋体" w:cs="宋体"/>
                <w:szCs w:val="21"/>
              </w:rPr>
            </w:pPr>
          </w:p>
          <w:p w14:paraId="4FA1979F">
            <w:pPr>
              <w:jc w:val="center"/>
              <w:rPr>
                <w:rFonts w:hint="eastAsia" w:ascii="宋体" w:hAnsi="宋体" w:cs="宋体"/>
                <w:szCs w:val="21"/>
              </w:rPr>
            </w:pPr>
          </w:p>
          <w:p w14:paraId="0542993D">
            <w:pPr>
              <w:jc w:val="center"/>
              <w:rPr>
                <w:rFonts w:hint="eastAsia" w:ascii="宋体" w:hAnsi="宋体" w:cs="宋体"/>
                <w:szCs w:val="21"/>
              </w:rPr>
            </w:pPr>
          </w:p>
          <w:p w14:paraId="66FD70E8">
            <w:pPr>
              <w:jc w:val="center"/>
              <w:rPr>
                <w:rFonts w:hint="eastAsia" w:ascii="宋体" w:hAnsi="宋体" w:cs="宋体"/>
                <w:szCs w:val="21"/>
              </w:rPr>
            </w:pPr>
          </w:p>
          <w:p w14:paraId="23E15384">
            <w:pPr>
              <w:jc w:val="center"/>
              <w:rPr>
                <w:rFonts w:hint="eastAsia" w:ascii="宋体" w:hAnsi="宋体" w:cs="宋体"/>
                <w:szCs w:val="21"/>
              </w:rPr>
            </w:pPr>
          </w:p>
          <w:p w14:paraId="164DC3A0">
            <w:pPr>
              <w:jc w:val="center"/>
              <w:rPr>
                <w:rFonts w:hint="eastAsia" w:ascii="宋体" w:hAnsi="宋体" w:cs="宋体"/>
                <w:szCs w:val="21"/>
              </w:rPr>
            </w:pPr>
            <w:r>
              <w:rPr>
                <w:rFonts w:hint="eastAsia" w:ascii="宋体" w:hAnsi="宋体" w:cs="宋体"/>
                <w:szCs w:val="21"/>
              </w:rPr>
              <w:t>套</w:t>
            </w:r>
          </w:p>
          <w:p w14:paraId="40568E57">
            <w:pPr>
              <w:jc w:val="center"/>
              <w:rPr>
                <w:rFonts w:hint="eastAsia" w:ascii="宋体" w:hAnsi="宋体" w:cs="宋体"/>
                <w:szCs w:val="21"/>
              </w:rPr>
            </w:pPr>
          </w:p>
          <w:p w14:paraId="539F88CE">
            <w:pPr>
              <w:jc w:val="center"/>
              <w:rPr>
                <w:rFonts w:hint="eastAsia" w:ascii="宋体" w:hAnsi="宋体" w:cs="宋体"/>
                <w:szCs w:val="21"/>
              </w:rPr>
            </w:pPr>
          </w:p>
          <w:p w14:paraId="2A502193">
            <w:pPr>
              <w:jc w:val="center"/>
              <w:rPr>
                <w:rFonts w:hint="eastAsia" w:ascii="宋体" w:hAnsi="宋体" w:cs="宋体"/>
                <w:szCs w:val="21"/>
              </w:rPr>
            </w:pPr>
          </w:p>
          <w:p w14:paraId="5F24DCF7">
            <w:pPr>
              <w:jc w:val="center"/>
              <w:rPr>
                <w:rFonts w:hint="eastAsia" w:ascii="宋体" w:hAnsi="宋体" w:cs="宋体"/>
                <w:szCs w:val="21"/>
              </w:rPr>
            </w:pPr>
          </w:p>
          <w:p w14:paraId="243DE465">
            <w:pPr>
              <w:jc w:val="center"/>
              <w:rPr>
                <w:rFonts w:hint="eastAsia" w:ascii="宋体" w:hAnsi="宋体" w:cs="宋体"/>
                <w:szCs w:val="21"/>
              </w:rPr>
            </w:pPr>
          </w:p>
          <w:p w14:paraId="756FC969">
            <w:pPr>
              <w:jc w:val="center"/>
              <w:rPr>
                <w:rFonts w:hint="eastAsia" w:ascii="宋体" w:hAnsi="宋体" w:cs="宋体"/>
                <w:szCs w:val="21"/>
              </w:rPr>
            </w:pPr>
          </w:p>
          <w:p w14:paraId="5C8EAF5D">
            <w:pPr>
              <w:jc w:val="center"/>
              <w:rPr>
                <w:rFonts w:hint="eastAsia" w:ascii="宋体" w:hAnsi="宋体" w:cs="宋体"/>
                <w:szCs w:val="21"/>
              </w:rPr>
            </w:pPr>
          </w:p>
          <w:p w14:paraId="68EA641D">
            <w:pPr>
              <w:jc w:val="center"/>
              <w:rPr>
                <w:rFonts w:hint="eastAsia" w:ascii="宋体" w:hAnsi="宋体" w:cs="宋体"/>
                <w:szCs w:val="21"/>
              </w:rPr>
            </w:pPr>
          </w:p>
          <w:p w14:paraId="030FAADE">
            <w:pPr>
              <w:jc w:val="center"/>
              <w:rPr>
                <w:rFonts w:hint="eastAsia" w:ascii="宋体" w:hAnsi="宋体" w:cs="宋体"/>
                <w:szCs w:val="21"/>
              </w:rPr>
            </w:pPr>
          </w:p>
          <w:p w14:paraId="0B1AC392">
            <w:pPr>
              <w:jc w:val="center"/>
              <w:rPr>
                <w:rFonts w:hint="eastAsia" w:ascii="宋体" w:hAnsi="宋体" w:cs="宋体"/>
                <w:szCs w:val="21"/>
              </w:rPr>
            </w:pPr>
          </w:p>
          <w:p w14:paraId="1CCD5F02">
            <w:pPr>
              <w:jc w:val="center"/>
              <w:rPr>
                <w:rFonts w:hint="eastAsia" w:ascii="宋体" w:hAnsi="宋体" w:cs="宋体"/>
                <w:szCs w:val="21"/>
              </w:rPr>
            </w:pPr>
          </w:p>
          <w:p w14:paraId="0DC28538">
            <w:pPr>
              <w:jc w:val="center"/>
              <w:rPr>
                <w:rFonts w:hint="eastAsia" w:ascii="宋体" w:hAnsi="宋体" w:cs="宋体"/>
                <w:szCs w:val="21"/>
              </w:rPr>
            </w:pPr>
          </w:p>
          <w:p w14:paraId="7A7D7418">
            <w:pPr>
              <w:jc w:val="center"/>
              <w:rPr>
                <w:rFonts w:hint="eastAsia" w:ascii="宋体" w:hAnsi="宋体" w:cs="宋体"/>
                <w:szCs w:val="21"/>
              </w:rPr>
            </w:pPr>
          </w:p>
          <w:p w14:paraId="39DBAE80">
            <w:pPr>
              <w:jc w:val="center"/>
              <w:rPr>
                <w:rFonts w:hint="eastAsia" w:ascii="宋体" w:hAnsi="宋体" w:cs="宋体"/>
                <w:szCs w:val="21"/>
              </w:rPr>
            </w:pPr>
          </w:p>
          <w:p w14:paraId="3BC2246A">
            <w:pPr>
              <w:jc w:val="center"/>
              <w:rPr>
                <w:rFonts w:hint="eastAsia" w:ascii="宋体" w:hAnsi="宋体" w:cs="宋体"/>
                <w:szCs w:val="21"/>
              </w:rPr>
            </w:pPr>
          </w:p>
        </w:tc>
      </w:tr>
      <w:tr w14:paraId="1C0117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trHeight w:val="695" w:hRule="atLeast"/>
        </w:trPr>
        <w:tc>
          <w:tcPr>
            <w:tcW w:w="193" w:type="pct"/>
            <w:vAlign w:val="center"/>
          </w:tcPr>
          <w:p w14:paraId="541B9C03">
            <w:pPr>
              <w:jc w:val="center"/>
              <w:rPr>
                <w:rFonts w:hint="eastAsia" w:ascii="宋体" w:hAnsi="宋体" w:cs="宋体"/>
                <w:b/>
                <w:bCs/>
                <w:szCs w:val="21"/>
              </w:rPr>
            </w:pPr>
            <w:r>
              <w:rPr>
                <w:rFonts w:hint="eastAsia" w:ascii="宋体" w:hAnsi="宋体" w:cs="宋体"/>
                <w:szCs w:val="21"/>
              </w:rPr>
              <w:t>14</w:t>
            </w:r>
          </w:p>
        </w:tc>
        <w:tc>
          <w:tcPr>
            <w:tcW w:w="536" w:type="pct"/>
            <w:vAlign w:val="center"/>
          </w:tcPr>
          <w:p w14:paraId="423D0524">
            <w:pPr>
              <w:pStyle w:val="80"/>
              <w:jc w:val="center"/>
              <w:rPr>
                <w:rFonts w:hint="eastAsia" w:ascii="宋体" w:hAnsi="宋体" w:cs="宋体"/>
              </w:rPr>
            </w:pPr>
            <w:r>
              <w:rPr>
                <w:rFonts w:hint="eastAsia" w:ascii="宋体" w:hAnsi="宋体" w:cs="宋体"/>
              </w:rPr>
              <w:t>纯电动汽车驱动系统装调与检测技术平台</w:t>
            </w:r>
          </w:p>
        </w:tc>
        <w:tc>
          <w:tcPr>
            <w:tcW w:w="3571" w:type="pct"/>
            <w:vAlign w:val="center"/>
          </w:tcPr>
          <w:p w14:paraId="39FB1F0E">
            <w:pPr>
              <w:pStyle w:val="80"/>
              <w:ind w:left="105" w:leftChars="50"/>
              <w:jc w:val="left"/>
              <w:rPr>
                <w:rFonts w:hint="eastAsia" w:ascii="宋体" w:hAnsi="宋体" w:cs="宋体"/>
              </w:rPr>
            </w:pPr>
            <w:r>
              <w:rPr>
                <w:rFonts w:hint="eastAsia" w:ascii="宋体" w:hAnsi="宋体" w:cs="宋体"/>
              </w:rPr>
              <w:t>一、产品简介:</w:t>
            </w:r>
            <w:r>
              <w:rPr>
                <w:rFonts w:hint="eastAsia" w:ascii="宋体" w:hAnsi="宋体" w:cs="宋体"/>
              </w:rPr>
              <w:br w:type="textWrapping"/>
            </w:r>
            <w:r>
              <w:rPr>
                <w:rFonts w:hint="eastAsia" w:ascii="宋体" w:hAnsi="宋体" w:cs="宋体"/>
              </w:rPr>
              <w:t>1、该实训台围绕新能源车用电机及控制系统定向开发，配套整车电机控制器及高压配电箱。可实现永磁同步电机的运行状态演示及常规信号检测。</w:t>
            </w:r>
            <w:r>
              <w:rPr>
                <w:rFonts w:hint="eastAsia" w:ascii="宋体" w:hAnsi="宋体" w:cs="宋体"/>
              </w:rPr>
              <w:br w:type="textWrapping"/>
            </w:r>
            <w:r>
              <w:rPr>
                <w:rFonts w:hint="eastAsia" w:ascii="宋体" w:hAnsi="宋体" w:cs="宋体"/>
              </w:rPr>
              <w:t>二、产品功能要求:</w:t>
            </w:r>
            <w:r>
              <w:rPr>
                <w:rFonts w:hint="eastAsia" w:ascii="宋体" w:hAnsi="宋体" w:cs="宋体"/>
              </w:rPr>
              <w:br w:type="textWrapping"/>
            </w:r>
            <w:r>
              <w:rPr>
                <w:rFonts w:hint="eastAsia" w:ascii="宋体" w:hAnsi="宋体" w:cs="宋体"/>
              </w:rPr>
              <w:t>产品组成：动力总成拆装实训台、智能信息采集检测箱、驱动能量供给平台、三相高压连接线缆、低压通信连接线缆等重要组成件组成。</w:t>
            </w:r>
            <w:r>
              <w:rPr>
                <w:rFonts w:hint="eastAsia" w:ascii="宋体" w:hAnsi="宋体" w:cs="宋体"/>
              </w:rPr>
              <w:br w:type="textWrapping"/>
            </w:r>
            <w:r>
              <w:rPr>
                <w:rFonts w:hint="eastAsia" w:ascii="宋体" w:hAnsi="宋体" w:cs="宋体"/>
              </w:rPr>
              <w:t>1.动力总成拆装实训台</w:t>
            </w:r>
            <w:r>
              <w:rPr>
                <w:rFonts w:hint="eastAsia" w:ascii="宋体" w:hAnsi="宋体" w:cs="宋体"/>
              </w:rPr>
              <w:br w:type="textWrapping"/>
            </w:r>
            <w:r>
              <w:rPr>
                <w:rFonts w:hint="eastAsia" w:ascii="宋体" w:hAnsi="宋体" w:cs="宋体"/>
              </w:rPr>
              <w:t>（1）电动机类型为三相永磁交流同步电机，电动机最大输出扭矩310N.m, 额定扭矩160N.m, 最大输入功率160kW，额定功率80kW，最大输出转速12000rpm。</w:t>
            </w:r>
            <w:r>
              <w:rPr>
                <w:rFonts w:hint="eastAsia" w:ascii="宋体" w:hAnsi="宋体" w:cs="宋体"/>
              </w:rPr>
              <w:br w:type="textWrapping"/>
            </w:r>
            <w:r>
              <w:rPr>
                <w:rFonts w:hint="eastAsia" w:ascii="宋体" w:hAnsi="宋体" w:cs="宋体"/>
              </w:rPr>
              <w:t>（2）变速器为单挡固定齿比变速器，主减速器减速比9.266，一级传动比3.217，主减速传动比2.880，电机轴中心与差速器中心的距离239mm。</w:t>
            </w:r>
            <w:r>
              <w:rPr>
                <w:rFonts w:hint="eastAsia" w:ascii="宋体" w:hAnsi="宋体" w:cs="宋体"/>
              </w:rPr>
              <w:br w:type="textWrapping"/>
            </w:r>
            <w:r>
              <w:rPr>
                <w:rFonts w:hint="eastAsia" w:ascii="宋体" w:hAnsi="宋体" w:cs="宋体"/>
              </w:rPr>
              <w:t>（3）桌面承重面板采用2㎝厚度木板，面板上装有优质不锈钢折弯面板，真不锈钢材质，耐腐蚀，易清洁，受力均匀，承重能力强。</w:t>
            </w:r>
            <w:r>
              <w:rPr>
                <w:rFonts w:hint="eastAsia" w:ascii="宋体" w:hAnsi="宋体" w:cs="宋体"/>
              </w:rPr>
              <w:br w:type="textWrapping"/>
            </w:r>
            <w:r>
              <w:rPr>
                <w:rFonts w:hint="eastAsia" w:ascii="宋体" w:hAnsi="宋体" w:cs="宋体"/>
              </w:rPr>
              <w:t>（4）桌面平铺≥5mm厚度绝缘垫，可有效的避免拆装过程中，部件或油污的滑落对台面造成的损伤，同时也可避免各部件间硬接触造成与元件损坏。</w:t>
            </w:r>
            <w:r>
              <w:rPr>
                <w:rFonts w:hint="eastAsia" w:ascii="宋体" w:hAnsi="宋体" w:cs="宋体"/>
              </w:rPr>
              <w:br w:type="textWrapping"/>
            </w:r>
            <w:r>
              <w:rPr>
                <w:rFonts w:hint="eastAsia" w:ascii="宋体" w:hAnsi="宋体" w:cs="宋体"/>
              </w:rPr>
              <w:t>（5）电机正常运行时，可借助示波器测量三相电的相位与旋变传感器的信号。</w:t>
            </w:r>
            <w:r>
              <w:rPr>
                <w:rFonts w:hint="eastAsia" w:ascii="宋体" w:hAnsi="宋体" w:cs="宋体"/>
              </w:rPr>
              <w:br w:type="textWrapping"/>
            </w:r>
            <w:r>
              <w:rPr>
                <w:rFonts w:hint="eastAsia" w:ascii="宋体" w:hAnsi="宋体" w:cs="宋体"/>
              </w:rPr>
              <w:t>（6）平台设计了电动机与变速箱分离丝杆机构以及变速箱360°任意翻转结构，使动力总成拆装轻便快捷。电动机与变速器分离不需手动操作，有效防止学员训练中的事故隐患。（投标文件中需提供实物图片）</w:t>
            </w:r>
            <w:r>
              <w:rPr>
                <w:rFonts w:hint="eastAsia" w:ascii="宋体" w:hAnsi="宋体" w:cs="宋体"/>
              </w:rPr>
              <w:br w:type="textWrapping"/>
            </w:r>
            <w:r>
              <w:rPr>
                <w:rFonts w:hint="eastAsia" w:ascii="宋体" w:hAnsi="宋体" w:cs="宋体"/>
              </w:rPr>
              <w:t>（7）平台台面四周设计了油槽，齿轮拆卸、清洗、安装时油污直接可以回流到集油装置，保持环境整洁。</w:t>
            </w:r>
            <w:r>
              <w:rPr>
                <w:rFonts w:hint="eastAsia" w:ascii="宋体" w:hAnsi="宋体" w:cs="宋体"/>
              </w:rPr>
              <w:br w:type="textWrapping"/>
            </w:r>
            <w:r>
              <w:rPr>
                <w:rFonts w:hint="eastAsia" w:ascii="宋体" w:hAnsi="宋体" w:cs="宋体"/>
              </w:rPr>
              <w:t>（8）平台采用上下双层结构梁支撑，承重大梁采用80*40的U型型材制作而成，安全稳固。</w:t>
            </w:r>
            <w:r>
              <w:rPr>
                <w:rFonts w:hint="eastAsia" w:ascii="宋体" w:hAnsi="宋体" w:cs="宋体"/>
              </w:rPr>
              <w:br w:type="textWrapping"/>
            </w:r>
            <w:r>
              <w:rPr>
                <w:rFonts w:hint="eastAsia" w:ascii="宋体" w:hAnsi="宋体" w:cs="宋体"/>
              </w:rPr>
              <w:t>（9）平台采用钢质材料，可承受不低于1吨的有效载荷。</w:t>
            </w:r>
            <w:r>
              <w:rPr>
                <w:rFonts w:hint="eastAsia" w:ascii="宋体" w:hAnsi="宋体" w:cs="宋体"/>
              </w:rPr>
              <w:br w:type="textWrapping"/>
            </w:r>
            <w:r>
              <w:rPr>
                <w:rFonts w:hint="eastAsia" w:ascii="宋体" w:hAnsi="宋体" w:cs="宋体"/>
              </w:rPr>
              <w:t>（10）平台有效解决了学员动力总成拆装与调试的高频率技能训练。</w:t>
            </w:r>
            <w:r>
              <w:rPr>
                <w:rFonts w:hint="eastAsia" w:ascii="宋体" w:hAnsi="宋体" w:cs="宋体"/>
              </w:rPr>
              <w:br w:type="textWrapping"/>
            </w:r>
            <w:r>
              <w:rPr>
                <w:rFonts w:hint="eastAsia" w:ascii="宋体" w:hAnsi="宋体" w:cs="宋体"/>
              </w:rPr>
              <w:t>2.智能信息采集检测箱</w:t>
            </w:r>
            <w:r>
              <w:rPr>
                <w:rFonts w:hint="eastAsia" w:ascii="宋体" w:hAnsi="宋体" w:cs="宋体"/>
              </w:rPr>
              <w:br w:type="textWrapping"/>
            </w:r>
            <w:r>
              <w:rPr>
                <w:rFonts w:hint="eastAsia" w:ascii="宋体" w:hAnsi="宋体" w:cs="宋体"/>
              </w:rPr>
              <w:t>（1）实训台配套智能信息采集检测箱，箱体表面喷涂高附着力磨砂黑色烤漆，工艺精湛，美观大方。</w:t>
            </w:r>
            <w:r>
              <w:rPr>
                <w:rFonts w:hint="eastAsia" w:ascii="宋体" w:hAnsi="宋体" w:cs="宋体"/>
              </w:rPr>
              <w:br w:type="textWrapping"/>
            </w:r>
            <w:r>
              <w:rPr>
                <w:rFonts w:hint="eastAsia" w:ascii="宋体" w:hAnsi="宋体" w:cs="宋体"/>
              </w:rPr>
              <w:t>（2）智能信息采集检测箱装有电机低压控制信号输入及输出插头，插头采用新能源原车低压信号插头，最大程度上贴合实车部件教学。</w:t>
            </w:r>
            <w:r>
              <w:rPr>
                <w:rFonts w:hint="eastAsia" w:ascii="宋体" w:hAnsi="宋体" w:cs="宋体"/>
              </w:rPr>
              <w:br w:type="textWrapping"/>
            </w:r>
            <w:r>
              <w:rPr>
                <w:rFonts w:hint="eastAsia" w:ascii="宋体" w:hAnsi="宋体" w:cs="宋体"/>
              </w:rPr>
              <w:t>（3）智能信息采集检测箱装有电机三相电源输入线缆插座，学生可通过配套电机三相线缆完成驱动能量供给平台与智能信息采集检测箱之间的高压线路装配与连接。</w:t>
            </w:r>
            <w:r>
              <w:rPr>
                <w:rFonts w:hint="eastAsia" w:ascii="宋体" w:hAnsi="宋体" w:cs="宋体"/>
              </w:rPr>
              <w:br w:type="textWrapping"/>
            </w:r>
            <w:r>
              <w:rPr>
                <w:rFonts w:hint="eastAsia" w:ascii="宋体" w:hAnsi="宋体" w:cs="宋体"/>
              </w:rPr>
              <w:t>（4）智能信息采集检测箱装有低压通讯线缆插座，学生可通过配套低压通信线束完成驱动能量供给平台与智能信息采集检测箱之间的低压线路装配与连接。</w:t>
            </w:r>
            <w:r>
              <w:rPr>
                <w:rFonts w:hint="eastAsia" w:ascii="宋体" w:hAnsi="宋体" w:cs="宋体"/>
              </w:rPr>
              <w:br w:type="textWrapping"/>
            </w:r>
            <w:r>
              <w:rPr>
                <w:rFonts w:hint="eastAsia" w:ascii="宋体" w:hAnsi="宋体" w:cs="宋体"/>
              </w:rPr>
              <w:t>（5）可借助万用表完成定子绕组相间电压信号检测。</w:t>
            </w:r>
            <w:r>
              <w:rPr>
                <w:rFonts w:hint="eastAsia" w:ascii="宋体" w:hAnsi="宋体" w:cs="宋体"/>
              </w:rPr>
              <w:br w:type="textWrapping"/>
            </w:r>
            <w:r>
              <w:rPr>
                <w:rFonts w:hint="eastAsia" w:ascii="宋体" w:hAnsi="宋体" w:cs="宋体"/>
              </w:rPr>
              <w:t>（6）设备配套有电机三相电压信号、电机旋变信号检测点，可借助示波器等设备对该信号波形进行诊断与分析。（投标文件中需提供旋变检测过程视频截图）</w:t>
            </w:r>
            <w:r>
              <w:rPr>
                <w:rFonts w:hint="eastAsia" w:ascii="宋体" w:hAnsi="宋体" w:cs="宋体"/>
              </w:rPr>
              <w:br w:type="textWrapping"/>
            </w:r>
            <w:r>
              <w:rPr>
                <w:rFonts w:hint="eastAsia" w:ascii="宋体" w:hAnsi="宋体" w:cs="宋体"/>
              </w:rPr>
              <w:t>（7）检测面板采用亚克力材质，表面经特殊工艺喷涂底漆处理；装配具有保护功能的检测端子，检测端子名称采用白色字体丝印。</w:t>
            </w:r>
            <w:r>
              <w:rPr>
                <w:rFonts w:hint="eastAsia" w:ascii="宋体" w:hAnsi="宋体" w:cs="宋体"/>
              </w:rPr>
              <w:br w:type="textWrapping"/>
            </w:r>
            <w:r>
              <w:rPr>
                <w:rFonts w:hint="eastAsia" w:ascii="宋体" w:hAnsi="宋体" w:cs="宋体"/>
              </w:rPr>
              <w:t>3.驱动能量供给平台</w:t>
            </w:r>
            <w:r>
              <w:rPr>
                <w:rFonts w:hint="eastAsia" w:ascii="宋体" w:hAnsi="宋体" w:cs="宋体"/>
              </w:rPr>
              <w:br w:type="textWrapping"/>
            </w:r>
            <w:r>
              <w:rPr>
                <w:rFonts w:hint="eastAsia" w:ascii="宋体" w:hAnsi="宋体" w:cs="宋体"/>
              </w:rPr>
              <w:t>（1）驱动能量供给平台搭载21.5寸超大触摸液晶显示器，平台结构选用坚固冷轧钢板，经过严格的脱脂、酸洗、防锈磷化、纯水清洗、静电喷涂等工艺流程，色泽自然、稳定性高、不易变形、耐水、耐老化。（投标文件中需提供实物图片）</w:t>
            </w:r>
            <w:r>
              <w:rPr>
                <w:rFonts w:hint="eastAsia" w:ascii="宋体" w:hAnsi="宋体" w:cs="宋体"/>
              </w:rPr>
              <w:br w:type="textWrapping"/>
            </w:r>
            <w:r>
              <w:rPr>
                <w:rFonts w:hint="eastAsia" w:ascii="宋体" w:hAnsi="宋体" w:cs="宋体"/>
              </w:rPr>
              <w:t>（2）配套车规级电机控制器，设备通电后，可动态展示电机正反转状态。</w:t>
            </w:r>
            <w:r>
              <w:rPr>
                <w:rFonts w:hint="eastAsia" w:ascii="宋体" w:hAnsi="宋体" w:cs="宋体"/>
              </w:rPr>
              <w:br w:type="textWrapping"/>
            </w:r>
            <w:r>
              <w:rPr>
                <w:rFonts w:hint="eastAsia" w:ascii="宋体" w:hAnsi="宋体" w:cs="宋体"/>
              </w:rPr>
              <w:t>（3）平台配有电机线接口、电机旋变传感器接口及地线接口，可方便连接智能信息采集检测箱为电机供电。</w:t>
            </w:r>
            <w:r>
              <w:rPr>
                <w:rFonts w:hint="eastAsia" w:ascii="宋体" w:hAnsi="宋体" w:cs="宋体"/>
              </w:rPr>
              <w:br w:type="textWrapping"/>
            </w:r>
            <w:r>
              <w:rPr>
                <w:rFonts w:hint="eastAsia" w:ascii="宋体" w:hAnsi="宋体" w:cs="宋体"/>
              </w:rPr>
              <w:t>（4）技术平台具有外接端口，可与动力电池 PACK装调与检测技术平台联动。</w:t>
            </w:r>
            <w:r>
              <w:rPr>
                <w:rFonts w:hint="eastAsia" w:ascii="宋体" w:hAnsi="宋体" w:cs="宋体"/>
              </w:rPr>
              <w:br w:type="textWrapping"/>
            </w:r>
            <w:r>
              <w:rPr>
                <w:rFonts w:hint="eastAsia" w:ascii="宋体" w:hAnsi="宋体" w:cs="宋体"/>
              </w:rPr>
              <w:t>（5）配套超大存储抽屉，抽屉采用实心双排滚珠静音缓冲阻尼导轨固定，抽拉顺滑，平衡力强，导轨表面采用不锈钢拉丝，电镀加工抛光打磨处理，历经盐雾测试，不易生锈，不易褪色。</w:t>
            </w:r>
            <w:r>
              <w:rPr>
                <w:rFonts w:hint="eastAsia" w:ascii="宋体" w:hAnsi="宋体" w:cs="宋体"/>
              </w:rPr>
              <w:br w:type="textWrapping"/>
            </w:r>
            <w:r>
              <w:rPr>
                <w:rFonts w:hint="eastAsia" w:ascii="宋体" w:hAnsi="宋体" w:cs="宋体"/>
              </w:rPr>
              <w:t>（6）抽屉内可存放电机高低压线束，使用方便，美观大方。</w:t>
            </w:r>
            <w:r>
              <w:rPr>
                <w:rFonts w:hint="eastAsia" w:ascii="宋体" w:hAnsi="宋体" w:cs="宋体"/>
              </w:rPr>
              <w:br w:type="textWrapping"/>
            </w:r>
            <w:r>
              <w:rPr>
                <w:rFonts w:hint="eastAsia" w:ascii="宋体" w:hAnsi="宋体" w:cs="宋体"/>
              </w:rPr>
              <w:t>4.驱动能量供给平台搭配智能教学系统</w:t>
            </w:r>
            <w:r>
              <w:rPr>
                <w:rFonts w:hint="eastAsia" w:ascii="宋体" w:hAnsi="宋体" w:cs="宋体"/>
              </w:rPr>
              <w:br w:type="textWrapping"/>
            </w:r>
            <w:r>
              <w:rPr>
                <w:rFonts w:hint="eastAsia" w:ascii="宋体" w:hAnsi="宋体" w:cs="宋体"/>
              </w:rPr>
              <w:t>（1）智能教学系统可控制电机运动</w:t>
            </w:r>
            <w:r>
              <w:rPr>
                <w:rFonts w:hint="eastAsia" w:ascii="宋体" w:hAnsi="宋体" w:cs="宋体"/>
              </w:rPr>
              <w:br w:type="textWrapping"/>
            </w:r>
            <w:r>
              <w:rPr>
                <w:rFonts w:hint="eastAsia" w:ascii="宋体" w:hAnsi="宋体" w:cs="宋体"/>
              </w:rPr>
              <w:t>（2）技术平台配置资源存储计算机和显示器，可存储可视化课程资源和文本资源等，辅助教师开展课堂教学，支持资源远程更新。（投标文件中需提供功能截图）</w:t>
            </w:r>
            <w:r>
              <w:rPr>
                <w:rFonts w:hint="eastAsia" w:ascii="宋体" w:hAnsi="宋体" w:cs="宋体"/>
              </w:rPr>
              <w:br w:type="textWrapping"/>
            </w:r>
            <w:r>
              <w:rPr>
                <w:rFonts w:hint="eastAsia" w:ascii="宋体" w:hAnsi="宋体" w:cs="宋体"/>
              </w:rPr>
              <w:t>三、可完成的实训项目:</w:t>
            </w:r>
            <w:r>
              <w:rPr>
                <w:rFonts w:hint="eastAsia" w:ascii="宋体" w:hAnsi="宋体" w:cs="宋体"/>
              </w:rPr>
              <w:br w:type="textWrapping"/>
            </w:r>
            <w:r>
              <w:rPr>
                <w:rFonts w:hint="eastAsia" w:ascii="宋体" w:hAnsi="宋体" w:cs="宋体"/>
              </w:rPr>
              <w:t>（1）变速箱组件外观检查，如齿轮轮系转动、主轴齿轮、副轴齿轮的、差速器组件等的检查</w:t>
            </w:r>
            <w:r>
              <w:rPr>
                <w:rFonts w:hint="eastAsia" w:ascii="宋体" w:hAnsi="宋体" w:cs="宋体"/>
              </w:rPr>
              <w:br w:type="textWrapping"/>
            </w:r>
            <w:r>
              <w:rPr>
                <w:rFonts w:hint="eastAsia" w:ascii="宋体" w:hAnsi="宋体" w:cs="宋体"/>
              </w:rPr>
              <w:t>（2）差速器组件的高度测量</w:t>
            </w:r>
            <w:r>
              <w:rPr>
                <w:rFonts w:hint="eastAsia" w:ascii="宋体" w:hAnsi="宋体" w:cs="宋体"/>
              </w:rPr>
              <w:br w:type="textWrapping"/>
            </w:r>
            <w:r>
              <w:rPr>
                <w:rFonts w:hint="eastAsia" w:ascii="宋体" w:hAnsi="宋体" w:cs="宋体"/>
              </w:rPr>
              <w:t>（3）后箱体轴承孔底的测量</w:t>
            </w:r>
            <w:r>
              <w:rPr>
                <w:rFonts w:hint="eastAsia" w:ascii="宋体" w:hAnsi="宋体" w:cs="宋体"/>
              </w:rPr>
              <w:br w:type="textWrapping"/>
            </w:r>
            <w:r>
              <w:rPr>
                <w:rFonts w:hint="eastAsia" w:ascii="宋体" w:hAnsi="宋体" w:cs="宋体"/>
              </w:rPr>
              <w:t>（4）选择三轴轴调整垫片厚度</w:t>
            </w:r>
            <w:r>
              <w:rPr>
                <w:rFonts w:hint="eastAsia" w:ascii="宋体" w:hAnsi="宋体" w:cs="宋体"/>
              </w:rPr>
              <w:br w:type="textWrapping"/>
            </w:r>
            <w:r>
              <w:rPr>
                <w:rFonts w:hint="eastAsia" w:ascii="宋体" w:hAnsi="宋体" w:cs="宋体"/>
              </w:rPr>
              <w:t>（5）驱动电机的空转检查</w:t>
            </w:r>
            <w:r>
              <w:rPr>
                <w:rFonts w:hint="eastAsia" w:ascii="宋体" w:hAnsi="宋体" w:cs="宋体"/>
              </w:rPr>
              <w:br w:type="textWrapping"/>
            </w:r>
            <w:r>
              <w:rPr>
                <w:rFonts w:hint="eastAsia" w:ascii="宋体" w:hAnsi="宋体" w:cs="宋体"/>
              </w:rPr>
              <w:t>（6）冷却回路密封性能检查</w:t>
            </w:r>
            <w:r>
              <w:rPr>
                <w:rFonts w:hint="eastAsia" w:ascii="宋体" w:hAnsi="宋体" w:cs="宋体"/>
              </w:rPr>
              <w:br w:type="textWrapping"/>
            </w:r>
            <w:r>
              <w:rPr>
                <w:rFonts w:hint="eastAsia" w:ascii="宋体" w:hAnsi="宋体" w:cs="宋体"/>
              </w:rPr>
              <w:t>（7）冷态绝缘电阻检测</w:t>
            </w:r>
            <w:r>
              <w:rPr>
                <w:rFonts w:hint="eastAsia" w:ascii="宋体" w:hAnsi="宋体" w:cs="宋体"/>
              </w:rPr>
              <w:br w:type="textWrapping"/>
            </w:r>
            <w:r>
              <w:rPr>
                <w:rFonts w:hint="eastAsia" w:ascii="宋体" w:hAnsi="宋体" w:cs="宋体"/>
              </w:rPr>
              <w:t>（8）绕组短路检查</w:t>
            </w:r>
            <w:r>
              <w:rPr>
                <w:rFonts w:hint="eastAsia" w:ascii="宋体" w:hAnsi="宋体" w:cs="宋体"/>
              </w:rPr>
              <w:br w:type="textWrapping"/>
            </w:r>
            <w:r>
              <w:rPr>
                <w:rFonts w:hint="eastAsia" w:ascii="宋体" w:hAnsi="宋体" w:cs="宋体"/>
              </w:rPr>
              <w:t>（9）绕组断路检查</w:t>
            </w:r>
            <w:r>
              <w:rPr>
                <w:rFonts w:hint="eastAsia" w:ascii="宋体" w:hAnsi="宋体" w:cs="宋体"/>
              </w:rPr>
              <w:br w:type="textWrapping"/>
            </w:r>
            <w:r>
              <w:rPr>
                <w:rFonts w:hint="eastAsia" w:ascii="宋体" w:hAnsi="宋体" w:cs="宋体"/>
              </w:rPr>
              <w:t>（10）旋变传感器绕组阻值检查</w:t>
            </w:r>
            <w:r>
              <w:rPr>
                <w:rFonts w:hint="eastAsia" w:ascii="宋体" w:hAnsi="宋体" w:cs="宋体"/>
              </w:rPr>
              <w:br w:type="textWrapping"/>
            </w:r>
            <w:r>
              <w:rPr>
                <w:rFonts w:hint="eastAsia" w:ascii="宋体" w:hAnsi="宋体" w:cs="宋体"/>
              </w:rPr>
              <w:t>（11）电机绕组温度传感器阻值检查</w:t>
            </w:r>
          </w:p>
        </w:tc>
        <w:tc>
          <w:tcPr>
            <w:tcW w:w="357" w:type="pct"/>
            <w:vAlign w:val="center"/>
          </w:tcPr>
          <w:p w14:paraId="71E321EB">
            <w:pPr>
              <w:jc w:val="center"/>
              <w:rPr>
                <w:rFonts w:hint="eastAsia" w:ascii="宋体" w:hAnsi="宋体" w:cs="宋体"/>
                <w:szCs w:val="21"/>
              </w:rPr>
            </w:pPr>
            <w:r>
              <w:rPr>
                <w:rFonts w:hint="eastAsia" w:ascii="宋体" w:hAnsi="宋体" w:cs="宋体"/>
                <w:szCs w:val="21"/>
              </w:rPr>
              <w:t>1</w:t>
            </w:r>
          </w:p>
        </w:tc>
        <w:tc>
          <w:tcPr>
            <w:tcW w:w="341" w:type="pct"/>
            <w:vAlign w:val="center"/>
          </w:tcPr>
          <w:p w14:paraId="3199194D">
            <w:pPr>
              <w:jc w:val="center"/>
              <w:rPr>
                <w:rFonts w:hint="eastAsia" w:ascii="宋体" w:hAnsi="宋体" w:cs="宋体"/>
                <w:szCs w:val="21"/>
              </w:rPr>
            </w:pPr>
          </w:p>
          <w:p w14:paraId="596C6C39">
            <w:pPr>
              <w:jc w:val="center"/>
              <w:rPr>
                <w:rFonts w:hint="eastAsia" w:ascii="宋体" w:hAnsi="宋体" w:cs="宋体"/>
                <w:szCs w:val="21"/>
              </w:rPr>
            </w:pPr>
          </w:p>
          <w:p w14:paraId="2F80AAF6">
            <w:pPr>
              <w:jc w:val="center"/>
              <w:rPr>
                <w:rFonts w:hint="eastAsia" w:ascii="宋体" w:hAnsi="宋体" w:cs="宋体"/>
                <w:szCs w:val="21"/>
              </w:rPr>
            </w:pPr>
          </w:p>
          <w:p w14:paraId="762B7A8D">
            <w:pPr>
              <w:jc w:val="center"/>
              <w:rPr>
                <w:rFonts w:hint="eastAsia" w:ascii="宋体" w:hAnsi="宋体" w:cs="宋体"/>
                <w:szCs w:val="21"/>
              </w:rPr>
            </w:pPr>
          </w:p>
          <w:p w14:paraId="7D097598">
            <w:pPr>
              <w:jc w:val="center"/>
              <w:rPr>
                <w:rFonts w:hint="eastAsia" w:ascii="宋体" w:hAnsi="宋体" w:cs="宋体"/>
                <w:szCs w:val="21"/>
              </w:rPr>
            </w:pPr>
          </w:p>
          <w:p w14:paraId="6EF14A84">
            <w:pPr>
              <w:jc w:val="center"/>
              <w:rPr>
                <w:rFonts w:hint="eastAsia" w:ascii="宋体" w:hAnsi="宋体" w:cs="宋体"/>
                <w:szCs w:val="21"/>
              </w:rPr>
            </w:pPr>
          </w:p>
          <w:p w14:paraId="39C4A55C">
            <w:pPr>
              <w:jc w:val="center"/>
              <w:rPr>
                <w:rFonts w:hint="eastAsia" w:ascii="宋体" w:hAnsi="宋体" w:cs="宋体"/>
                <w:szCs w:val="21"/>
              </w:rPr>
            </w:pPr>
          </w:p>
          <w:p w14:paraId="48089A8E">
            <w:pPr>
              <w:jc w:val="center"/>
              <w:rPr>
                <w:rFonts w:hint="eastAsia" w:ascii="宋体" w:hAnsi="宋体" w:cs="宋体"/>
                <w:szCs w:val="21"/>
              </w:rPr>
            </w:pPr>
          </w:p>
          <w:p w14:paraId="0D1E1527">
            <w:pPr>
              <w:jc w:val="center"/>
              <w:rPr>
                <w:rFonts w:hint="eastAsia" w:ascii="宋体" w:hAnsi="宋体" w:cs="宋体"/>
                <w:szCs w:val="21"/>
              </w:rPr>
            </w:pPr>
          </w:p>
          <w:p w14:paraId="561E2B4B">
            <w:pPr>
              <w:jc w:val="center"/>
              <w:rPr>
                <w:rFonts w:hint="eastAsia" w:ascii="宋体" w:hAnsi="宋体" w:cs="宋体"/>
                <w:szCs w:val="21"/>
              </w:rPr>
            </w:pPr>
          </w:p>
          <w:p w14:paraId="5E6FC9F1">
            <w:pPr>
              <w:jc w:val="center"/>
              <w:rPr>
                <w:rFonts w:hint="eastAsia" w:ascii="宋体" w:hAnsi="宋体" w:cs="宋体"/>
                <w:szCs w:val="21"/>
              </w:rPr>
            </w:pPr>
          </w:p>
          <w:p w14:paraId="01A2F966">
            <w:pPr>
              <w:jc w:val="center"/>
              <w:rPr>
                <w:rFonts w:hint="eastAsia" w:ascii="宋体" w:hAnsi="宋体" w:cs="宋体"/>
                <w:szCs w:val="21"/>
              </w:rPr>
            </w:pPr>
          </w:p>
          <w:p w14:paraId="64465F2C">
            <w:pPr>
              <w:jc w:val="center"/>
              <w:rPr>
                <w:rFonts w:hint="eastAsia" w:ascii="宋体" w:hAnsi="宋体" w:cs="宋体"/>
                <w:szCs w:val="21"/>
              </w:rPr>
            </w:pPr>
          </w:p>
          <w:p w14:paraId="7ABDFFC3">
            <w:pPr>
              <w:jc w:val="center"/>
              <w:rPr>
                <w:rFonts w:hint="eastAsia" w:ascii="宋体" w:hAnsi="宋体" w:cs="宋体"/>
                <w:szCs w:val="21"/>
              </w:rPr>
            </w:pPr>
            <w:r>
              <w:rPr>
                <w:rFonts w:hint="eastAsia" w:ascii="宋体" w:hAnsi="宋体" w:cs="宋体"/>
                <w:szCs w:val="21"/>
              </w:rPr>
              <w:t>套</w:t>
            </w:r>
          </w:p>
          <w:p w14:paraId="6609CCE8">
            <w:pPr>
              <w:jc w:val="center"/>
              <w:rPr>
                <w:rFonts w:hint="eastAsia" w:ascii="宋体" w:hAnsi="宋体" w:cs="宋体"/>
                <w:szCs w:val="21"/>
              </w:rPr>
            </w:pPr>
          </w:p>
          <w:p w14:paraId="2106BDDE">
            <w:pPr>
              <w:jc w:val="center"/>
              <w:rPr>
                <w:rFonts w:hint="eastAsia" w:ascii="宋体" w:hAnsi="宋体" w:cs="宋体"/>
                <w:szCs w:val="21"/>
              </w:rPr>
            </w:pPr>
          </w:p>
          <w:p w14:paraId="1AAEC278">
            <w:pPr>
              <w:jc w:val="center"/>
              <w:rPr>
                <w:rFonts w:hint="eastAsia" w:ascii="宋体" w:hAnsi="宋体" w:cs="宋体"/>
                <w:szCs w:val="21"/>
              </w:rPr>
            </w:pPr>
          </w:p>
          <w:p w14:paraId="3D6740BF">
            <w:pPr>
              <w:jc w:val="center"/>
              <w:rPr>
                <w:rFonts w:hint="eastAsia" w:ascii="宋体" w:hAnsi="宋体" w:cs="宋体"/>
                <w:szCs w:val="21"/>
              </w:rPr>
            </w:pPr>
          </w:p>
          <w:p w14:paraId="3D2BC058">
            <w:pPr>
              <w:jc w:val="center"/>
              <w:rPr>
                <w:rFonts w:hint="eastAsia" w:ascii="宋体" w:hAnsi="宋体" w:cs="宋体"/>
                <w:szCs w:val="21"/>
              </w:rPr>
            </w:pPr>
          </w:p>
          <w:p w14:paraId="527ECB75">
            <w:pPr>
              <w:jc w:val="center"/>
              <w:rPr>
                <w:rFonts w:hint="eastAsia" w:ascii="宋体" w:hAnsi="宋体" w:cs="宋体"/>
                <w:szCs w:val="21"/>
              </w:rPr>
            </w:pPr>
          </w:p>
          <w:p w14:paraId="65501906">
            <w:pPr>
              <w:jc w:val="center"/>
              <w:rPr>
                <w:rFonts w:hint="eastAsia" w:ascii="宋体" w:hAnsi="宋体" w:cs="宋体"/>
                <w:szCs w:val="21"/>
              </w:rPr>
            </w:pPr>
          </w:p>
          <w:p w14:paraId="4CDCECFF">
            <w:pPr>
              <w:jc w:val="center"/>
              <w:rPr>
                <w:rFonts w:hint="eastAsia" w:ascii="宋体" w:hAnsi="宋体" w:cs="宋体"/>
                <w:szCs w:val="21"/>
              </w:rPr>
            </w:pPr>
          </w:p>
          <w:p w14:paraId="527CC91A">
            <w:pPr>
              <w:jc w:val="center"/>
              <w:rPr>
                <w:rFonts w:hint="eastAsia" w:ascii="宋体" w:hAnsi="宋体" w:cs="宋体"/>
                <w:szCs w:val="21"/>
              </w:rPr>
            </w:pPr>
          </w:p>
          <w:p w14:paraId="183BDBD1">
            <w:pPr>
              <w:jc w:val="center"/>
              <w:rPr>
                <w:rFonts w:hint="eastAsia" w:ascii="宋体" w:hAnsi="宋体" w:cs="宋体"/>
                <w:szCs w:val="21"/>
              </w:rPr>
            </w:pPr>
          </w:p>
          <w:p w14:paraId="4B6C8D95">
            <w:pPr>
              <w:jc w:val="center"/>
              <w:rPr>
                <w:rFonts w:hint="eastAsia" w:ascii="宋体" w:hAnsi="宋体" w:cs="宋体"/>
                <w:szCs w:val="21"/>
              </w:rPr>
            </w:pPr>
          </w:p>
          <w:p w14:paraId="1E8070DC">
            <w:pPr>
              <w:jc w:val="center"/>
              <w:rPr>
                <w:rFonts w:hint="eastAsia" w:ascii="宋体" w:hAnsi="宋体" w:cs="宋体"/>
                <w:szCs w:val="21"/>
              </w:rPr>
            </w:pPr>
          </w:p>
          <w:p w14:paraId="407678B2">
            <w:pPr>
              <w:jc w:val="center"/>
              <w:rPr>
                <w:rFonts w:hint="eastAsia" w:ascii="宋体" w:hAnsi="宋体" w:cs="宋体"/>
                <w:szCs w:val="21"/>
              </w:rPr>
            </w:pPr>
          </w:p>
        </w:tc>
      </w:tr>
      <w:tr w14:paraId="5B1793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trHeight w:val="695" w:hRule="atLeast"/>
        </w:trPr>
        <w:tc>
          <w:tcPr>
            <w:tcW w:w="193" w:type="pct"/>
            <w:vAlign w:val="center"/>
          </w:tcPr>
          <w:p w14:paraId="70E25935">
            <w:pPr>
              <w:jc w:val="center"/>
              <w:rPr>
                <w:rFonts w:hint="eastAsia" w:ascii="宋体" w:hAnsi="宋体" w:cs="宋体"/>
                <w:b/>
                <w:bCs/>
                <w:szCs w:val="21"/>
              </w:rPr>
            </w:pPr>
            <w:r>
              <w:rPr>
                <w:rFonts w:hint="eastAsia" w:ascii="宋体" w:hAnsi="宋体" w:cs="宋体"/>
                <w:szCs w:val="21"/>
              </w:rPr>
              <w:t>15</w:t>
            </w:r>
          </w:p>
        </w:tc>
        <w:tc>
          <w:tcPr>
            <w:tcW w:w="536" w:type="pct"/>
            <w:vAlign w:val="center"/>
          </w:tcPr>
          <w:p w14:paraId="368533E0">
            <w:pPr>
              <w:jc w:val="center"/>
              <w:rPr>
                <w:rFonts w:hint="eastAsia" w:ascii="宋体" w:hAnsi="宋体" w:cs="宋体"/>
                <w:szCs w:val="21"/>
              </w:rPr>
            </w:pPr>
            <w:r>
              <w:rPr>
                <w:rFonts w:hint="eastAsia" w:ascii="宋体" w:hAnsi="宋体" w:cs="宋体"/>
                <w:szCs w:val="21"/>
              </w:rPr>
              <w:t>充电桩教学实训系统</w:t>
            </w:r>
          </w:p>
        </w:tc>
        <w:tc>
          <w:tcPr>
            <w:tcW w:w="3571" w:type="pct"/>
            <w:vAlign w:val="center"/>
          </w:tcPr>
          <w:p w14:paraId="2F23E853">
            <w:pPr>
              <w:pStyle w:val="80"/>
              <w:ind w:left="105" w:leftChars="50"/>
              <w:jc w:val="left"/>
              <w:rPr>
                <w:rFonts w:hint="eastAsia" w:ascii="宋体" w:hAnsi="宋体" w:cs="宋体"/>
              </w:rPr>
            </w:pPr>
            <w:r>
              <w:rPr>
                <w:rFonts w:hint="eastAsia" w:ascii="宋体" w:hAnsi="宋体" w:cs="宋体"/>
              </w:rPr>
              <w:t>一、产品组成要求：</w:t>
            </w:r>
            <w:r>
              <w:rPr>
                <w:rFonts w:hint="eastAsia" w:ascii="宋体" w:hAnsi="宋体" w:cs="宋体"/>
              </w:rPr>
              <w:br w:type="textWrapping"/>
            </w:r>
            <w:r>
              <w:rPr>
                <w:rFonts w:hint="eastAsia" w:ascii="宋体" w:hAnsi="宋体" w:cs="宋体"/>
              </w:rPr>
              <w:t>1、7KW立式充电桩:开门式充电桩壳体、急停开关、标准桩端充电枪、5吋触摸显示屏、充电状态指示灯、IC卡读取模块、充电桩主控模块、无线通讯模块、数字电量表、防浪涌保护器、漏电保护器、接线排、充电桩固定低托盘。</w:t>
            </w:r>
            <w:r>
              <w:rPr>
                <w:rFonts w:hint="eastAsia" w:ascii="宋体" w:hAnsi="宋体" w:cs="宋体"/>
              </w:rPr>
              <w:br w:type="textWrapping"/>
            </w:r>
            <w:r>
              <w:rPr>
                <w:rFonts w:hint="eastAsia" w:ascii="宋体" w:hAnsi="宋体" w:cs="宋体"/>
              </w:rPr>
              <w:t>2、充电桩测试装置：国标车端交流充电接口、验证按钮、工作指示灯、测试装置盒。</w:t>
            </w:r>
            <w:r>
              <w:rPr>
                <w:rFonts w:hint="eastAsia" w:ascii="宋体" w:hAnsi="宋体" w:cs="宋体"/>
              </w:rPr>
              <w:br w:type="textWrapping"/>
            </w:r>
            <w:r>
              <w:rPr>
                <w:rFonts w:hint="eastAsia" w:ascii="宋体" w:hAnsi="宋体" w:cs="宋体"/>
              </w:rPr>
              <w:t>二、产品功能要求：</w:t>
            </w:r>
            <w:r>
              <w:rPr>
                <w:rFonts w:hint="eastAsia" w:ascii="宋体" w:hAnsi="宋体" w:cs="宋体"/>
              </w:rPr>
              <w:br w:type="textWrapping"/>
            </w:r>
            <w:r>
              <w:rPr>
                <w:rFonts w:hint="eastAsia" w:ascii="宋体" w:hAnsi="宋体" w:cs="宋体"/>
              </w:rPr>
              <w:t>1、充电桩采用柜式结构，下面支架进行加固。</w:t>
            </w:r>
            <w:r>
              <w:rPr>
                <w:rFonts w:hint="eastAsia" w:ascii="宋体" w:hAnsi="宋体" w:cs="宋体"/>
              </w:rPr>
              <w:br w:type="textWrapping"/>
            </w:r>
            <w:r>
              <w:rPr>
                <w:rFonts w:hint="eastAsia" w:ascii="宋体" w:hAnsi="宋体" w:cs="宋体"/>
              </w:rPr>
              <w:t>2、充电桩均采用知名厂家配件及电源导线，可保证反复拆装及连线使用。</w:t>
            </w:r>
            <w:r>
              <w:rPr>
                <w:rFonts w:hint="eastAsia" w:ascii="宋体" w:hAnsi="宋体" w:cs="宋体"/>
              </w:rPr>
              <w:br w:type="textWrapping"/>
            </w:r>
            <w:r>
              <w:rPr>
                <w:rFonts w:hint="eastAsia" w:ascii="宋体" w:hAnsi="宋体" w:cs="宋体"/>
              </w:rPr>
              <w:t>3、充电桩配有详细的装配与检修操作细则。</w:t>
            </w:r>
            <w:r>
              <w:rPr>
                <w:rFonts w:hint="eastAsia" w:ascii="宋体" w:hAnsi="宋体" w:cs="宋体"/>
              </w:rPr>
              <w:br w:type="textWrapping"/>
            </w:r>
            <w:r>
              <w:rPr>
                <w:rFonts w:hint="eastAsia" w:ascii="宋体" w:hAnsi="宋体" w:cs="宋体"/>
              </w:rPr>
              <w:t>4、充电桩配有详细的电路原理图，便于器件连线及查找故障。</w:t>
            </w:r>
            <w:r>
              <w:rPr>
                <w:rFonts w:hint="eastAsia" w:ascii="宋体" w:hAnsi="宋体" w:cs="宋体"/>
              </w:rPr>
              <w:br w:type="textWrapping"/>
            </w:r>
            <w:r>
              <w:rPr>
                <w:rFonts w:hint="eastAsia" w:ascii="宋体" w:hAnsi="宋体" w:cs="宋体"/>
              </w:rPr>
              <w:t>5、充电桩完成连线及调试后，充电桩插头连接工作平台上的国标交流充电插座车辆端，即可验证接线的正确性。</w:t>
            </w:r>
            <w:r>
              <w:rPr>
                <w:rFonts w:hint="eastAsia" w:ascii="宋体" w:hAnsi="宋体" w:cs="宋体"/>
              </w:rPr>
              <w:br w:type="textWrapping"/>
            </w:r>
            <w:r>
              <w:rPr>
                <w:rFonts w:hint="eastAsia" w:ascii="宋体" w:hAnsi="宋体" w:cs="宋体"/>
              </w:rPr>
              <w:t>6、充电桩有完善的安全保护功能，具有输入侧过压、欠压保护，输出侧过压、过流保护，过温、短路、漏电、防雷等保护。</w:t>
            </w:r>
            <w:r>
              <w:rPr>
                <w:rFonts w:hint="eastAsia" w:ascii="宋体" w:hAnsi="宋体" w:cs="宋体"/>
              </w:rPr>
              <w:br w:type="textWrapping"/>
            </w:r>
            <w:r>
              <w:rPr>
                <w:rFonts w:hint="eastAsia" w:ascii="宋体" w:hAnsi="宋体" w:cs="宋体"/>
              </w:rPr>
              <w:t>7、充电桩正面的人机界面可动态显示实时的充电电压、充电电流、充电电量、充电时间等信息。</w:t>
            </w:r>
            <w:r>
              <w:rPr>
                <w:rFonts w:hint="eastAsia" w:ascii="宋体" w:hAnsi="宋体" w:cs="宋体"/>
              </w:rPr>
              <w:br w:type="textWrapping"/>
            </w:r>
            <w:r>
              <w:rPr>
                <w:rFonts w:hint="eastAsia" w:ascii="宋体" w:hAnsi="宋体" w:cs="宋体"/>
              </w:rPr>
              <w:t>8、具有充电、急停按钮开关、连接确认检测、充电温度检测等功能，全方位保证充电安全。</w:t>
            </w:r>
            <w:r>
              <w:rPr>
                <w:rFonts w:hint="eastAsia" w:ascii="宋体" w:hAnsi="宋体" w:cs="宋体"/>
              </w:rPr>
              <w:br w:type="textWrapping"/>
            </w:r>
            <w:r>
              <w:rPr>
                <w:rFonts w:hint="eastAsia" w:ascii="宋体" w:hAnsi="宋体" w:cs="宋体"/>
              </w:rPr>
              <w:t>9、充电桩具有参数可设置功能，学生或教师可以根据自行需求来设定充电桩的信息参数。</w:t>
            </w:r>
            <w:r>
              <w:rPr>
                <w:rFonts w:hint="eastAsia" w:ascii="宋体" w:hAnsi="宋体" w:cs="宋体"/>
              </w:rPr>
              <w:br w:type="textWrapping"/>
            </w:r>
            <w:r>
              <w:rPr>
                <w:rFonts w:hint="eastAsia" w:ascii="宋体" w:hAnsi="宋体" w:cs="宋体"/>
              </w:rPr>
              <w:t xml:space="preserve"> 充电方式四种选择：按金额充电、按电量充电、按时间充电、自动充满</w:t>
            </w:r>
            <w:r>
              <w:rPr>
                <w:rFonts w:hint="eastAsia" w:ascii="宋体" w:hAnsi="宋体" w:cs="宋体"/>
              </w:rPr>
              <w:br w:type="textWrapping"/>
            </w:r>
            <w:r>
              <w:rPr>
                <w:rFonts w:hint="eastAsia" w:ascii="宋体" w:hAnsi="宋体" w:cs="宋体"/>
              </w:rPr>
              <w:t xml:space="preserve"> 系统管理：时间设置、费率设置、系统测试、终端号设置、通信设置、密码设置、余额设置、信息查询、系统设置。 </w:t>
            </w:r>
            <w:r>
              <w:rPr>
                <w:rFonts w:hint="eastAsia" w:ascii="宋体" w:hAnsi="宋体" w:cs="宋体"/>
              </w:rPr>
              <w:br w:type="textWrapping"/>
            </w:r>
            <w:r>
              <w:rPr>
                <w:rFonts w:hint="eastAsia" w:ascii="宋体" w:hAnsi="宋体" w:cs="宋体"/>
              </w:rPr>
              <w:t xml:space="preserve">  其中费率设置中可以设置在不同时间段设置不同的费率和相应的服务费。</w:t>
            </w:r>
            <w:r>
              <w:rPr>
                <w:rFonts w:hint="eastAsia" w:ascii="宋体" w:hAnsi="宋体" w:cs="宋体"/>
              </w:rPr>
              <w:br w:type="textWrapping"/>
            </w:r>
            <w:r>
              <w:rPr>
                <w:rFonts w:hint="eastAsia" w:ascii="宋体" w:hAnsi="宋体" w:cs="宋体"/>
              </w:rPr>
              <w:t>10、 实训台使用的交流充电桩符合国家各项标准；</w:t>
            </w:r>
            <w:r>
              <w:rPr>
                <w:rFonts w:hint="eastAsia" w:ascii="宋体" w:hAnsi="宋体" w:cs="宋体"/>
              </w:rPr>
              <w:br w:type="textWrapping"/>
            </w:r>
            <w:r>
              <w:rPr>
                <w:rFonts w:hint="eastAsia" w:ascii="宋体" w:hAnsi="宋体" w:cs="宋体"/>
              </w:rPr>
              <w:t xml:space="preserve">      GB/T 18487.1-2015《电动汽车传导充电系统第1部分：通用要求》</w:t>
            </w:r>
            <w:r>
              <w:rPr>
                <w:rFonts w:hint="eastAsia" w:ascii="宋体" w:hAnsi="宋体" w:cs="宋体"/>
              </w:rPr>
              <w:br w:type="textWrapping"/>
            </w:r>
            <w:r>
              <w:rPr>
                <w:rFonts w:hint="eastAsia" w:ascii="宋体" w:hAnsi="宋体" w:cs="宋体"/>
              </w:rPr>
              <w:t xml:space="preserve">      GB/T 20234.2-2015《电动汽车传导充电用连接装置第1部分：通用要求》</w:t>
            </w:r>
            <w:r>
              <w:rPr>
                <w:rFonts w:hint="eastAsia" w:ascii="宋体" w:hAnsi="宋体" w:cs="宋体"/>
              </w:rPr>
              <w:br w:type="textWrapping"/>
            </w:r>
            <w:r>
              <w:rPr>
                <w:rFonts w:hint="eastAsia" w:ascii="宋体" w:hAnsi="宋体" w:cs="宋体"/>
              </w:rPr>
              <w:t xml:space="preserve">      GB/T 20234.2-2015《电动汽车传导充电用连接装置第2部分：交流充电接口》</w:t>
            </w:r>
            <w:r>
              <w:rPr>
                <w:rFonts w:hint="eastAsia" w:ascii="宋体" w:hAnsi="宋体" w:cs="宋体"/>
              </w:rPr>
              <w:br w:type="textWrapping"/>
            </w:r>
            <w:r>
              <w:rPr>
                <w:rFonts w:hint="eastAsia" w:ascii="宋体" w:hAnsi="宋体" w:cs="宋体"/>
              </w:rPr>
              <w:t xml:space="preserve">      GB/T 27930-2015《电动汽车非车载传导式充电机与电池管理系统之间的通信协议》</w:t>
            </w:r>
            <w:r>
              <w:rPr>
                <w:rFonts w:hint="eastAsia" w:ascii="宋体" w:hAnsi="宋体" w:cs="宋体"/>
              </w:rPr>
              <w:br w:type="textWrapping"/>
            </w:r>
            <w:r>
              <w:rPr>
                <w:rFonts w:hint="eastAsia" w:ascii="宋体" w:hAnsi="宋体" w:cs="宋体"/>
              </w:rPr>
              <w:t xml:space="preserve">      GB/T19596-2004《电动汽车术语》</w:t>
            </w:r>
            <w:r>
              <w:rPr>
                <w:rFonts w:hint="eastAsia" w:ascii="宋体" w:hAnsi="宋体" w:cs="宋体"/>
              </w:rPr>
              <w:br w:type="textWrapping"/>
            </w:r>
            <w:r>
              <w:rPr>
                <w:rFonts w:hint="eastAsia" w:ascii="宋体" w:hAnsi="宋体" w:cs="宋体"/>
              </w:rPr>
              <w:t>四、教学及实训项目</w:t>
            </w:r>
            <w:r>
              <w:rPr>
                <w:rFonts w:hint="eastAsia" w:ascii="宋体" w:hAnsi="宋体" w:cs="宋体"/>
              </w:rPr>
              <w:br w:type="textWrapping"/>
            </w:r>
            <w:r>
              <w:rPr>
                <w:rFonts w:hint="eastAsia" w:ascii="宋体" w:hAnsi="宋体" w:cs="宋体"/>
              </w:rPr>
              <w:t>1.交流充电桩原理教学。</w:t>
            </w:r>
            <w:r>
              <w:rPr>
                <w:rFonts w:hint="eastAsia" w:ascii="宋体" w:hAnsi="宋体" w:cs="宋体"/>
              </w:rPr>
              <w:br w:type="textWrapping"/>
            </w:r>
            <w:r>
              <w:rPr>
                <w:rFonts w:hint="eastAsia" w:ascii="宋体" w:hAnsi="宋体" w:cs="宋体"/>
              </w:rPr>
              <w:t>2.交流充电桩系统模块组装练习。</w:t>
            </w:r>
            <w:r>
              <w:rPr>
                <w:rFonts w:hint="eastAsia" w:ascii="宋体" w:hAnsi="宋体" w:cs="宋体"/>
              </w:rPr>
              <w:br w:type="textWrapping"/>
            </w:r>
            <w:r>
              <w:rPr>
                <w:rFonts w:hint="eastAsia" w:ascii="宋体" w:hAnsi="宋体" w:cs="宋体"/>
              </w:rPr>
              <w:t>3.交流充电桩故障诊断。</w:t>
            </w:r>
            <w:r>
              <w:rPr>
                <w:rFonts w:hint="eastAsia" w:ascii="宋体" w:hAnsi="宋体" w:cs="宋体"/>
              </w:rPr>
              <w:br w:type="textWrapping"/>
            </w:r>
            <w:r>
              <w:rPr>
                <w:rFonts w:hint="eastAsia" w:ascii="宋体" w:hAnsi="宋体" w:cs="宋体"/>
              </w:rPr>
              <w:t>4.交流充电桩系统参数设定认知及练习。</w:t>
            </w:r>
            <w:r>
              <w:rPr>
                <w:rFonts w:hint="eastAsia" w:ascii="宋体" w:hAnsi="宋体" w:cs="宋体"/>
              </w:rPr>
              <w:br w:type="textWrapping"/>
            </w:r>
            <w:r>
              <w:rPr>
                <w:rFonts w:hint="eastAsia" w:ascii="宋体" w:hAnsi="宋体" w:cs="宋体"/>
              </w:rPr>
              <w:t>5.充电桩与车辆对接信号检测诊断。</w:t>
            </w:r>
            <w:r>
              <w:rPr>
                <w:rFonts w:hint="eastAsia" w:ascii="宋体" w:hAnsi="宋体" w:cs="宋体"/>
              </w:rPr>
              <w:br w:type="textWrapping"/>
            </w:r>
            <w:r>
              <w:rPr>
                <w:rFonts w:hint="eastAsia" w:ascii="宋体" w:hAnsi="宋体" w:cs="宋体"/>
              </w:rPr>
              <w:t>（投标文件里需提供检查设备、工具和安全防护用具的截图图片、安装漏电保护器模块的截图图片、安装导线到各模块的截图图片、安装完毕后进行测试的截图图片、对充电桩进行设置的截图图片）</w:t>
            </w:r>
          </w:p>
        </w:tc>
        <w:tc>
          <w:tcPr>
            <w:tcW w:w="357" w:type="pct"/>
            <w:vAlign w:val="center"/>
          </w:tcPr>
          <w:p w14:paraId="0F948ABA">
            <w:pPr>
              <w:jc w:val="center"/>
              <w:rPr>
                <w:rFonts w:hint="eastAsia" w:ascii="宋体" w:hAnsi="宋体" w:cs="宋体"/>
                <w:szCs w:val="21"/>
              </w:rPr>
            </w:pPr>
            <w:r>
              <w:rPr>
                <w:rFonts w:hint="eastAsia" w:ascii="宋体" w:hAnsi="宋体" w:cs="宋体"/>
                <w:szCs w:val="21"/>
              </w:rPr>
              <w:t>2</w:t>
            </w:r>
          </w:p>
        </w:tc>
        <w:tc>
          <w:tcPr>
            <w:tcW w:w="341" w:type="pct"/>
            <w:vAlign w:val="center"/>
          </w:tcPr>
          <w:p w14:paraId="509ABB7D">
            <w:pPr>
              <w:jc w:val="center"/>
              <w:rPr>
                <w:rFonts w:hint="eastAsia" w:ascii="宋体" w:hAnsi="宋体" w:cs="宋体"/>
                <w:szCs w:val="21"/>
              </w:rPr>
            </w:pPr>
            <w:r>
              <w:rPr>
                <w:rFonts w:hint="eastAsia" w:ascii="宋体" w:hAnsi="宋体" w:cs="宋体"/>
                <w:szCs w:val="21"/>
              </w:rPr>
              <w:t>套</w:t>
            </w:r>
          </w:p>
        </w:tc>
      </w:tr>
      <w:tr w14:paraId="5DC3D2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trHeight w:val="695" w:hRule="atLeast"/>
        </w:trPr>
        <w:tc>
          <w:tcPr>
            <w:tcW w:w="193" w:type="pct"/>
            <w:vAlign w:val="center"/>
          </w:tcPr>
          <w:p w14:paraId="329221E5">
            <w:pPr>
              <w:jc w:val="center"/>
              <w:rPr>
                <w:rFonts w:hint="eastAsia" w:ascii="宋体" w:hAnsi="宋体" w:cs="宋体"/>
                <w:b/>
                <w:bCs/>
                <w:szCs w:val="21"/>
              </w:rPr>
            </w:pPr>
            <w:r>
              <w:rPr>
                <w:rFonts w:hint="eastAsia" w:ascii="宋体" w:hAnsi="宋体" w:cs="宋体"/>
                <w:szCs w:val="21"/>
              </w:rPr>
              <w:t>16</w:t>
            </w:r>
          </w:p>
        </w:tc>
        <w:tc>
          <w:tcPr>
            <w:tcW w:w="536" w:type="pct"/>
            <w:vAlign w:val="center"/>
          </w:tcPr>
          <w:p w14:paraId="2B2B1646">
            <w:pPr>
              <w:pStyle w:val="80"/>
              <w:jc w:val="center"/>
              <w:rPr>
                <w:rFonts w:hint="eastAsia" w:ascii="宋体" w:hAnsi="宋体" w:cs="宋体"/>
              </w:rPr>
            </w:pPr>
            <w:r>
              <w:rPr>
                <w:rFonts w:hint="eastAsia" w:ascii="宋体" w:hAnsi="宋体" w:cs="宋体"/>
              </w:rPr>
              <w:t>交直流充电智能实训台</w:t>
            </w:r>
          </w:p>
        </w:tc>
        <w:tc>
          <w:tcPr>
            <w:tcW w:w="3571" w:type="pct"/>
            <w:vAlign w:val="center"/>
          </w:tcPr>
          <w:p w14:paraId="2F024B3B">
            <w:pPr>
              <w:pStyle w:val="80"/>
              <w:ind w:left="105" w:leftChars="50"/>
              <w:jc w:val="left"/>
              <w:rPr>
                <w:rFonts w:hint="eastAsia" w:ascii="宋体" w:hAnsi="宋体" w:cs="宋体"/>
              </w:rPr>
            </w:pPr>
            <w:r>
              <w:rPr>
                <w:rFonts w:hint="eastAsia" w:ascii="宋体" w:hAnsi="宋体" w:cs="宋体"/>
              </w:rPr>
              <w:t>一、产品组成要求：</w:t>
            </w:r>
            <w:r>
              <w:rPr>
                <w:rFonts w:hint="eastAsia" w:ascii="宋体" w:hAnsi="宋体" w:cs="宋体"/>
              </w:rPr>
              <w:br w:type="textWrapping"/>
            </w:r>
            <w:r>
              <w:rPr>
                <w:rFonts w:hint="eastAsia" w:ascii="宋体" w:hAnsi="宋体" w:cs="宋体"/>
              </w:rPr>
              <w:t>1、交流充电桩总成、便携式直流充电桩、可移动式铝型材工艺的示教板等组成。</w:t>
            </w:r>
            <w:r>
              <w:rPr>
                <w:rFonts w:hint="eastAsia" w:ascii="宋体" w:hAnsi="宋体" w:cs="宋体"/>
              </w:rPr>
              <w:br w:type="textWrapping"/>
            </w:r>
            <w:r>
              <w:rPr>
                <w:rFonts w:hint="eastAsia" w:ascii="宋体" w:hAnsi="宋体" w:cs="宋体"/>
              </w:rPr>
              <w:t>二、产品功能要求：</w:t>
            </w:r>
            <w:r>
              <w:rPr>
                <w:rFonts w:hint="eastAsia" w:ascii="宋体" w:hAnsi="宋体" w:cs="宋体"/>
              </w:rPr>
              <w:br w:type="textWrapping"/>
            </w:r>
            <w:r>
              <w:rPr>
                <w:rFonts w:hint="eastAsia" w:ascii="宋体" w:hAnsi="宋体" w:cs="宋体"/>
              </w:rPr>
              <w:t>1、由真实可运行的插电式纯电动汽车充电系统组成。实训系统中所涉及的国标交流充电口、直流充电口在示教面板上注明充电枪中各管脚定义及作用；</w:t>
            </w:r>
            <w:r>
              <w:rPr>
                <w:rFonts w:hint="eastAsia" w:ascii="宋体" w:hAnsi="宋体" w:cs="宋体"/>
              </w:rPr>
              <w:br w:type="textWrapping"/>
            </w:r>
            <w:r>
              <w:rPr>
                <w:rFonts w:hint="eastAsia" w:ascii="宋体" w:hAnsi="宋体" w:cs="宋体"/>
              </w:rPr>
              <w:t>2、实训系统台架面板上提取插电式纯电动汽车交流充电口、直流充电口与交流充电枪和直流充电枪连接过程中的相关信号，如直流充电口中车辆端BSM充电网总线信号、低压辅助电源等信号，可使用相关测量设备测量车辆在充电过程中的车辆与充电桩线路中的相关信号数据。</w:t>
            </w:r>
            <w:r>
              <w:rPr>
                <w:rFonts w:hint="eastAsia" w:ascii="宋体" w:hAnsi="宋体" w:cs="宋体"/>
              </w:rPr>
              <w:br w:type="textWrapping"/>
            </w:r>
            <w:r>
              <w:rPr>
                <w:rFonts w:hint="eastAsia" w:ascii="宋体" w:hAnsi="宋体" w:cs="宋体"/>
              </w:rPr>
              <w:t>3、实训系统示教面板上安装的交流充电桩和便携式直流充电桩可满足插电式电动汽车充电过程中符合国标要求的相关保护策略，如短路保护、温度保护、过压过流保护、欠压保护、握手失败保护等；</w:t>
            </w:r>
            <w:r>
              <w:rPr>
                <w:rFonts w:hint="eastAsia" w:ascii="宋体" w:hAnsi="宋体" w:cs="宋体"/>
              </w:rPr>
              <w:br w:type="textWrapping"/>
            </w:r>
            <w:r>
              <w:rPr>
                <w:rFonts w:hint="eastAsia" w:ascii="宋体" w:hAnsi="宋体" w:cs="宋体"/>
              </w:rPr>
              <w:t>4、实训台面板上UV喷应有国标交流充电、直流充电原理图。便于了解掌握纯电动汽车交流充电过程及纯电动汽车直流充电过程。</w:t>
            </w:r>
            <w:r>
              <w:rPr>
                <w:rFonts w:hint="eastAsia" w:ascii="宋体" w:hAnsi="宋体" w:cs="宋体"/>
              </w:rPr>
              <w:br w:type="textWrapping"/>
            </w:r>
            <w:r>
              <w:rPr>
                <w:rFonts w:hint="eastAsia" w:ascii="宋体" w:hAnsi="宋体" w:cs="宋体"/>
              </w:rPr>
              <w:t>三、产品工艺要求;</w:t>
            </w:r>
            <w:r>
              <w:rPr>
                <w:rFonts w:hint="eastAsia" w:ascii="宋体" w:hAnsi="宋体" w:cs="宋体"/>
              </w:rPr>
              <w:br w:type="textWrapping"/>
            </w:r>
            <w:r>
              <w:rPr>
                <w:rFonts w:hint="eastAsia" w:ascii="宋体" w:hAnsi="宋体" w:cs="宋体"/>
              </w:rPr>
              <w:t>1、实训台面板采用4mm厚耐腐蚀、耐创击、耐污染、防火、防潮的高级铝塑板，表面经特殊工艺喷涂底漆处理；面板打印有永不褪色的彩色电路图。</w:t>
            </w:r>
            <w:r>
              <w:rPr>
                <w:rFonts w:hint="eastAsia" w:ascii="宋体" w:hAnsi="宋体" w:cs="宋体"/>
              </w:rPr>
              <w:br w:type="textWrapping"/>
            </w:r>
            <w:r>
              <w:rPr>
                <w:rFonts w:hint="eastAsia" w:ascii="宋体" w:hAnsi="宋体" w:cs="宋体"/>
              </w:rPr>
              <w:t>2、实训台配备有电源总开关、绝缘护套等安装保护装置。</w:t>
            </w:r>
            <w:r>
              <w:rPr>
                <w:rFonts w:hint="eastAsia" w:ascii="宋体" w:hAnsi="宋体" w:cs="宋体"/>
              </w:rPr>
              <w:br w:type="textWrapping"/>
            </w:r>
            <w:r>
              <w:rPr>
                <w:rFonts w:hint="eastAsia" w:ascii="宋体" w:hAnsi="宋体" w:cs="宋体"/>
              </w:rPr>
              <w:t>3、实训台底座采用钢结构焊接，表面采用喷涂工艺处理，带自锁脚轮装置，移动灵活，安全可靠、坚固耐用。</w:t>
            </w:r>
            <w:r>
              <w:rPr>
                <w:rFonts w:hint="eastAsia" w:ascii="宋体" w:hAnsi="宋体" w:cs="宋体"/>
              </w:rPr>
              <w:br w:type="textWrapping"/>
            </w:r>
            <w:r>
              <w:rPr>
                <w:rFonts w:hint="eastAsia" w:ascii="宋体" w:hAnsi="宋体" w:cs="宋体"/>
              </w:rPr>
              <w:t>四、教学及实训项目</w:t>
            </w:r>
            <w:r>
              <w:rPr>
                <w:rFonts w:hint="eastAsia" w:ascii="宋体" w:hAnsi="宋体" w:cs="宋体"/>
              </w:rPr>
              <w:br w:type="textWrapping"/>
            </w:r>
            <w:r>
              <w:rPr>
                <w:rFonts w:hint="eastAsia" w:ascii="宋体" w:hAnsi="宋体" w:cs="宋体"/>
              </w:rPr>
              <w:t>1、了解电动汽车交流充电桩、直流充电桩的结构组成；</w:t>
            </w:r>
            <w:r>
              <w:rPr>
                <w:rFonts w:hint="eastAsia" w:ascii="宋体" w:hAnsi="宋体" w:cs="宋体"/>
              </w:rPr>
              <w:br w:type="textWrapping"/>
            </w:r>
            <w:r>
              <w:rPr>
                <w:rFonts w:hint="eastAsia" w:ascii="宋体" w:hAnsi="宋体" w:cs="宋体"/>
              </w:rPr>
              <w:t>2、了解纯电动车交流充电桩、直流充电桩基本工作原理；</w:t>
            </w:r>
            <w:r>
              <w:rPr>
                <w:rFonts w:hint="eastAsia" w:ascii="宋体" w:hAnsi="宋体" w:cs="宋体"/>
              </w:rPr>
              <w:br w:type="textWrapping"/>
            </w:r>
            <w:r>
              <w:rPr>
                <w:rFonts w:hint="eastAsia" w:ascii="宋体" w:hAnsi="宋体" w:cs="宋体"/>
              </w:rPr>
              <w:t>3、了解电动车交流充电与直流充电的控制过程与区别。</w:t>
            </w:r>
          </w:p>
        </w:tc>
        <w:tc>
          <w:tcPr>
            <w:tcW w:w="357" w:type="pct"/>
            <w:vAlign w:val="center"/>
          </w:tcPr>
          <w:p w14:paraId="060CDB12">
            <w:pPr>
              <w:jc w:val="center"/>
              <w:rPr>
                <w:rFonts w:hint="eastAsia" w:ascii="宋体" w:hAnsi="宋体" w:cs="宋体"/>
                <w:szCs w:val="21"/>
              </w:rPr>
            </w:pPr>
            <w:r>
              <w:rPr>
                <w:rFonts w:hint="eastAsia" w:ascii="宋体" w:hAnsi="宋体" w:cs="宋体"/>
                <w:szCs w:val="21"/>
              </w:rPr>
              <w:t>2</w:t>
            </w:r>
          </w:p>
        </w:tc>
        <w:tc>
          <w:tcPr>
            <w:tcW w:w="341" w:type="pct"/>
            <w:vAlign w:val="center"/>
          </w:tcPr>
          <w:p w14:paraId="363D03B4">
            <w:pPr>
              <w:jc w:val="center"/>
              <w:rPr>
                <w:rFonts w:hint="eastAsia" w:ascii="宋体" w:hAnsi="宋体" w:cs="宋体"/>
                <w:szCs w:val="21"/>
              </w:rPr>
            </w:pPr>
            <w:r>
              <w:rPr>
                <w:rFonts w:hint="eastAsia" w:ascii="宋体" w:hAnsi="宋体" w:cs="宋体"/>
                <w:szCs w:val="21"/>
              </w:rPr>
              <w:t>套</w:t>
            </w:r>
          </w:p>
        </w:tc>
      </w:tr>
      <w:tr w14:paraId="3A8CE7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trHeight w:val="695" w:hRule="atLeast"/>
        </w:trPr>
        <w:tc>
          <w:tcPr>
            <w:tcW w:w="193" w:type="pct"/>
            <w:vAlign w:val="center"/>
          </w:tcPr>
          <w:p w14:paraId="3C79F396">
            <w:pPr>
              <w:jc w:val="center"/>
              <w:rPr>
                <w:rFonts w:hint="eastAsia" w:ascii="宋体" w:hAnsi="宋体" w:cs="宋体"/>
                <w:b/>
                <w:bCs/>
                <w:szCs w:val="21"/>
              </w:rPr>
            </w:pPr>
            <w:r>
              <w:rPr>
                <w:rFonts w:hint="eastAsia" w:ascii="宋体" w:hAnsi="宋体" w:cs="宋体"/>
                <w:szCs w:val="21"/>
              </w:rPr>
              <w:t>17</w:t>
            </w:r>
          </w:p>
        </w:tc>
        <w:tc>
          <w:tcPr>
            <w:tcW w:w="536" w:type="pct"/>
            <w:vAlign w:val="center"/>
          </w:tcPr>
          <w:p w14:paraId="2D828C6C">
            <w:pPr>
              <w:pStyle w:val="80"/>
              <w:jc w:val="center"/>
              <w:rPr>
                <w:rFonts w:hint="eastAsia" w:ascii="宋体" w:hAnsi="宋体" w:cs="宋体"/>
              </w:rPr>
            </w:pPr>
            <w:r>
              <w:rPr>
                <w:rFonts w:hint="eastAsia" w:ascii="宋体" w:hAnsi="宋体" w:cs="宋体"/>
              </w:rPr>
              <w:t>纯电动汽车电池及管理系统实训台</w:t>
            </w:r>
          </w:p>
        </w:tc>
        <w:tc>
          <w:tcPr>
            <w:tcW w:w="3571" w:type="pct"/>
            <w:vAlign w:val="center"/>
          </w:tcPr>
          <w:p w14:paraId="0451D74A">
            <w:pPr>
              <w:pStyle w:val="80"/>
              <w:ind w:left="105" w:leftChars="50"/>
              <w:jc w:val="left"/>
              <w:rPr>
                <w:rFonts w:hint="eastAsia" w:ascii="宋体" w:hAnsi="宋体" w:cs="宋体"/>
              </w:rPr>
            </w:pPr>
            <w:r>
              <w:rPr>
                <w:rFonts w:hint="eastAsia" w:ascii="宋体" w:hAnsi="宋体" w:cs="宋体"/>
              </w:rPr>
              <w:t>一、产品组成要求:</w:t>
            </w:r>
            <w:r>
              <w:rPr>
                <w:rFonts w:hint="eastAsia" w:ascii="宋体" w:hAnsi="宋体" w:cs="宋体"/>
              </w:rPr>
              <w:br w:type="textWrapping"/>
            </w:r>
            <w:r>
              <w:rPr>
                <w:rFonts w:hint="eastAsia" w:ascii="宋体" w:hAnsi="宋体" w:cs="宋体"/>
              </w:rPr>
              <w:t xml:space="preserve">1、检测控制面板、锂电池组，电池管理系统（包括主控模块、从控模块、采集线、维修开关等）、电源开关、交流充电枪、高压分配模组、电源指示灯，急停开关、电池组充电器，12V开关电源、国标充电口、铝型材台架等。  </w:t>
            </w:r>
            <w:r>
              <w:rPr>
                <w:rFonts w:hint="eastAsia" w:ascii="宋体" w:hAnsi="宋体" w:cs="宋体"/>
              </w:rPr>
              <w:br w:type="textWrapping"/>
            </w:r>
            <w:r>
              <w:rPr>
                <w:rFonts w:hint="eastAsia" w:ascii="宋体" w:hAnsi="宋体" w:cs="宋体"/>
              </w:rPr>
              <w:t>2、实训台配置外挂式可360度旋转支架的21寸多媒体一体机，显示终端装有BMS管理系统App软件，通过专用CAN卡与上位机软件通讯，上位机软件可动态监测每个单节电池电压、SOC动态估计电池组容量、动态监测电池组温度、动态显示所有电池组信息、按键实时处理、动态监测总回路电流、动态报警指示、充电实时控制以及CC值、绝缘电阻值等。</w:t>
            </w:r>
            <w:r>
              <w:rPr>
                <w:rFonts w:hint="eastAsia" w:ascii="宋体" w:hAnsi="宋体" w:cs="宋体"/>
              </w:rPr>
              <w:br w:type="textWrapping"/>
            </w:r>
            <w:r>
              <w:rPr>
                <w:rFonts w:hint="eastAsia" w:ascii="宋体" w:hAnsi="宋体" w:cs="宋体"/>
              </w:rPr>
              <w:t>二、产品规格要求:</w:t>
            </w:r>
            <w:r>
              <w:rPr>
                <w:rFonts w:hint="eastAsia" w:ascii="宋体" w:hAnsi="宋体" w:cs="宋体"/>
              </w:rPr>
              <w:br w:type="textWrapping"/>
            </w:r>
            <w:r>
              <w:rPr>
                <w:rFonts w:hint="eastAsia" w:ascii="宋体" w:hAnsi="宋体" w:cs="宋体"/>
              </w:rPr>
              <w:t>1、外形尺寸（长×宽×高)：≥1600*800*1800mm；</w:t>
            </w:r>
            <w:r>
              <w:rPr>
                <w:rFonts w:hint="eastAsia" w:ascii="宋体" w:hAnsi="宋体" w:cs="宋体"/>
              </w:rPr>
              <w:br w:type="textWrapping"/>
            </w:r>
            <w:r>
              <w:rPr>
                <w:rFonts w:hint="eastAsia" w:ascii="宋体" w:hAnsi="宋体" w:cs="宋体"/>
              </w:rPr>
              <w:t xml:space="preserve">2、系统控制单元采用CAN线通信控制； </w:t>
            </w:r>
            <w:r>
              <w:rPr>
                <w:rFonts w:hint="eastAsia" w:ascii="宋体" w:hAnsi="宋体" w:cs="宋体"/>
              </w:rPr>
              <w:br w:type="textWrapping"/>
            </w:r>
            <w:r>
              <w:rPr>
                <w:rFonts w:hint="eastAsia" w:ascii="宋体" w:hAnsi="宋体" w:cs="宋体"/>
              </w:rPr>
              <w:t>3、外接电源：交流220V±10% 50Hz(充电工况) 。</w:t>
            </w:r>
            <w:r>
              <w:rPr>
                <w:rFonts w:hint="eastAsia" w:ascii="宋体" w:hAnsi="宋体" w:cs="宋体"/>
              </w:rPr>
              <w:br w:type="textWrapping"/>
            </w:r>
            <w:r>
              <w:rPr>
                <w:rFonts w:hint="eastAsia" w:ascii="宋体" w:hAnsi="宋体" w:cs="宋体"/>
              </w:rPr>
              <w:t>三、产品功能要求:</w:t>
            </w:r>
            <w:r>
              <w:rPr>
                <w:rFonts w:hint="eastAsia" w:ascii="宋体" w:hAnsi="宋体" w:cs="宋体"/>
              </w:rPr>
              <w:br w:type="textWrapping"/>
            </w:r>
            <w:r>
              <w:rPr>
                <w:rFonts w:hint="eastAsia" w:ascii="宋体" w:hAnsi="宋体" w:cs="宋体"/>
              </w:rPr>
              <w:t xml:space="preserve">1、可直观对照纯电动汽车电池组管理系统结构示意图和实物，认识和分析纯电动汽车电池组管理系统的基本工作原理。 </w:t>
            </w:r>
            <w:r>
              <w:rPr>
                <w:rFonts w:hint="eastAsia" w:ascii="宋体" w:hAnsi="宋体" w:cs="宋体"/>
              </w:rPr>
              <w:br w:type="textWrapping"/>
            </w:r>
            <w:r>
              <w:rPr>
                <w:rFonts w:hint="eastAsia" w:ascii="宋体" w:hAnsi="宋体" w:cs="宋体"/>
              </w:rPr>
              <w:t>2、该设备采用纯电动汽车BMS(电池管理系统)系统实物为基础，预留有与上位机相连接的USB通讯线，通过专用CAN卡与上位机软件通讯，在显示终端App软件上可动态监测每个单节电池电压、SOC动态估计电池组容量、动态监测电池组温度、动态显示所有电池组信息、按键实时处理、动态监测总回路电流、动态报警指示、充电实时控制以及CC值、绝缘电阻值等。</w:t>
            </w:r>
            <w:r>
              <w:rPr>
                <w:rFonts w:hint="eastAsia" w:ascii="宋体" w:hAnsi="宋体" w:cs="宋体"/>
              </w:rPr>
              <w:br w:type="textWrapping"/>
            </w:r>
            <w:r>
              <w:rPr>
                <w:rFonts w:hint="eastAsia" w:ascii="宋体" w:hAnsi="宋体" w:cs="宋体"/>
              </w:rPr>
              <w:t>3、实验台装有PTC加热器装置，用于模拟电池组的放电负载。</w:t>
            </w:r>
            <w:r>
              <w:rPr>
                <w:rFonts w:hint="eastAsia" w:ascii="宋体" w:hAnsi="宋体" w:cs="宋体"/>
              </w:rPr>
              <w:br w:type="textWrapping"/>
            </w:r>
            <w:r>
              <w:rPr>
                <w:rFonts w:hint="eastAsia" w:ascii="宋体" w:hAnsi="宋体" w:cs="宋体"/>
              </w:rPr>
              <w:t>4、实训台面板采用UV喷绘彩色原理图，环保、无污染。其上安装有各电池组、接触器等多个测量端口，实训过程中可通过测量端口检测线路上的电压、电阻值等相关数据。</w:t>
            </w:r>
            <w:r>
              <w:rPr>
                <w:rFonts w:hint="eastAsia" w:ascii="宋体" w:hAnsi="宋体" w:cs="宋体"/>
              </w:rPr>
              <w:br w:type="textWrapping"/>
            </w:r>
            <w:r>
              <w:rPr>
                <w:rFonts w:hint="eastAsia" w:ascii="宋体" w:hAnsi="宋体" w:cs="宋体"/>
              </w:rPr>
              <w:t>5、车载充电机采用CAN总线通讯，与电池管理系统实时通讯，具有欠压保护、过载保护、过压保护、过温保护及自动充满跳闸保护等。</w:t>
            </w:r>
            <w:r>
              <w:rPr>
                <w:rFonts w:hint="eastAsia" w:ascii="宋体" w:hAnsi="宋体" w:cs="宋体"/>
              </w:rPr>
              <w:br w:type="textWrapping"/>
            </w:r>
            <w:r>
              <w:rPr>
                <w:rFonts w:hint="eastAsia" w:ascii="宋体" w:hAnsi="宋体" w:cs="宋体"/>
              </w:rPr>
              <w:t xml:space="preserve">6、实验台工作采用普通220V交流电源，经内部电路变压整流转换成12V直流电源，无需蓄电池，减少充电的麻烦，12V直流电源有防短路功能。 </w:t>
            </w:r>
            <w:r>
              <w:rPr>
                <w:rFonts w:hint="eastAsia" w:ascii="宋体" w:hAnsi="宋体" w:cs="宋体"/>
              </w:rPr>
              <w:br w:type="textWrapping"/>
            </w:r>
            <w:r>
              <w:rPr>
                <w:rFonts w:hint="eastAsia" w:ascii="宋体" w:hAnsi="宋体" w:cs="宋体"/>
              </w:rPr>
              <w:t>四、教学及实训项目:</w:t>
            </w:r>
            <w:r>
              <w:rPr>
                <w:rFonts w:hint="eastAsia" w:ascii="宋体" w:hAnsi="宋体" w:cs="宋体"/>
              </w:rPr>
              <w:br w:type="textWrapping"/>
            </w:r>
            <w:r>
              <w:rPr>
                <w:rFonts w:hint="eastAsia" w:ascii="宋体" w:hAnsi="宋体" w:cs="宋体"/>
              </w:rPr>
              <w:t xml:space="preserve">1、了解电池管理单元的结构和工作原理； </w:t>
            </w:r>
            <w:r>
              <w:rPr>
                <w:rFonts w:hint="eastAsia" w:ascii="宋体" w:hAnsi="宋体" w:cs="宋体"/>
              </w:rPr>
              <w:br w:type="textWrapping"/>
            </w:r>
            <w:r>
              <w:rPr>
                <w:rFonts w:hint="eastAsia" w:ascii="宋体" w:hAnsi="宋体" w:cs="宋体"/>
              </w:rPr>
              <w:t>2、掌握电池管理单元的检测方法；</w:t>
            </w:r>
            <w:r>
              <w:rPr>
                <w:rFonts w:hint="eastAsia" w:ascii="宋体" w:hAnsi="宋体" w:cs="宋体"/>
              </w:rPr>
              <w:br w:type="textWrapping"/>
            </w:r>
            <w:r>
              <w:rPr>
                <w:rFonts w:hint="eastAsia" w:ascii="宋体" w:hAnsi="宋体" w:cs="宋体"/>
              </w:rPr>
              <w:t>3、了解电池管理系统上下电等配电策略及诊断；</w:t>
            </w:r>
            <w:r>
              <w:rPr>
                <w:rFonts w:hint="eastAsia" w:ascii="宋体" w:hAnsi="宋体" w:cs="宋体"/>
              </w:rPr>
              <w:br w:type="textWrapping"/>
            </w:r>
            <w:r>
              <w:rPr>
                <w:rFonts w:hint="eastAsia" w:ascii="宋体" w:hAnsi="宋体" w:cs="宋体"/>
              </w:rPr>
              <w:t>4、了解车载充电器的工作过程</w:t>
            </w:r>
            <w:r>
              <w:rPr>
                <w:rFonts w:hint="eastAsia" w:ascii="宋体" w:hAnsi="宋体" w:cs="宋体"/>
              </w:rPr>
              <w:br w:type="textWrapping"/>
            </w:r>
            <w:r>
              <w:rPr>
                <w:rFonts w:hint="eastAsia" w:ascii="宋体" w:hAnsi="宋体" w:cs="宋体"/>
              </w:rPr>
              <w:t>5、了解电池包pack工艺标准并熟练掌握</w:t>
            </w:r>
            <w:r>
              <w:rPr>
                <w:rFonts w:hint="eastAsia" w:ascii="宋体" w:hAnsi="宋体" w:cs="宋体"/>
              </w:rPr>
              <w:br w:type="textWrapping"/>
            </w:r>
            <w:r>
              <w:rPr>
                <w:rFonts w:hint="eastAsia" w:ascii="宋体" w:hAnsi="宋体" w:cs="宋体"/>
              </w:rPr>
              <w:t xml:space="preserve">6、掌握电池包体总成的充放电台架操作技巧； </w:t>
            </w:r>
            <w:r>
              <w:rPr>
                <w:rFonts w:hint="eastAsia" w:ascii="宋体" w:hAnsi="宋体" w:cs="宋体"/>
              </w:rPr>
              <w:br w:type="textWrapping"/>
            </w:r>
            <w:r>
              <w:rPr>
                <w:rFonts w:hint="eastAsia" w:ascii="宋体" w:hAnsi="宋体" w:cs="宋体"/>
              </w:rPr>
              <w:t xml:space="preserve">7、掌握电池包体总成的维护注意事项； </w:t>
            </w:r>
            <w:r>
              <w:rPr>
                <w:rFonts w:hint="eastAsia" w:ascii="宋体" w:hAnsi="宋体" w:cs="宋体"/>
              </w:rPr>
              <w:br w:type="textWrapping"/>
            </w:r>
            <w:r>
              <w:rPr>
                <w:rFonts w:hint="eastAsia" w:ascii="宋体" w:hAnsi="宋体" w:cs="宋体"/>
              </w:rPr>
              <w:t>8、握纯电动汽车电池组故障排除方法。</w:t>
            </w:r>
          </w:p>
        </w:tc>
        <w:tc>
          <w:tcPr>
            <w:tcW w:w="357" w:type="pct"/>
            <w:vAlign w:val="center"/>
          </w:tcPr>
          <w:p w14:paraId="52BCF35F">
            <w:pPr>
              <w:jc w:val="center"/>
              <w:rPr>
                <w:rFonts w:hint="eastAsia" w:ascii="宋体" w:hAnsi="宋体" w:cs="宋体"/>
                <w:szCs w:val="21"/>
              </w:rPr>
            </w:pPr>
            <w:r>
              <w:rPr>
                <w:rFonts w:hint="eastAsia" w:ascii="宋体" w:hAnsi="宋体" w:cs="宋体"/>
                <w:szCs w:val="21"/>
              </w:rPr>
              <w:t>1</w:t>
            </w:r>
          </w:p>
        </w:tc>
        <w:tc>
          <w:tcPr>
            <w:tcW w:w="341" w:type="pct"/>
            <w:vAlign w:val="center"/>
          </w:tcPr>
          <w:p w14:paraId="35D153E9">
            <w:pPr>
              <w:jc w:val="center"/>
              <w:rPr>
                <w:rFonts w:hint="eastAsia" w:ascii="宋体" w:hAnsi="宋体" w:cs="宋体"/>
                <w:szCs w:val="21"/>
              </w:rPr>
            </w:pPr>
            <w:r>
              <w:rPr>
                <w:rFonts w:hint="eastAsia" w:ascii="宋体" w:hAnsi="宋体" w:cs="宋体"/>
                <w:szCs w:val="21"/>
              </w:rPr>
              <w:t>套</w:t>
            </w:r>
          </w:p>
        </w:tc>
      </w:tr>
      <w:tr w14:paraId="737AE9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trHeight w:val="695" w:hRule="atLeast"/>
        </w:trPr>
        <w:tc>
          <w:tcPr>
            <w:tcW w:w="193" w:type="pct"/>
            <w:vAlign w:val="center"/>
          </w:tcPr>
          <w:p w14:paraId="4AA02C50">
            <w:pPr>
              <w:jc w:val="center"/>
              <w:rPr>
                <w:rFonts w:hint="eastAsia" w:ascii="宋体" w:hAnsi="宋体" w:cs="宋体"/>
                <w:b/>
                <w:bCs/>
                <w:szCs w:val="21"/>
              </w:rPr>
            </w:pPr>
            <w:r>
              <w:rPr>
                <w:rFonts w:hint="eastAsia" w:ascii="宋体" w:hAnsi="宋体" w:cs="宋体"/>
                <w:szCs w:val="21"/>
              </w:rPr>
              <w:t>18</w:t>
            </w:r>
          </w:p>
        </w:tc>
        <w:tc>
          <w:tcPr>
            <w:tcW w:w="536" w:type="pct"/>
            <w:vAlign w:val="center"/>
          </w:tcPr>
          <w:p w14:paraId="7DD0E4CE">
            <w:pPr>
              <w:pStyle w:val="42"/>
              <w:ind w:firstLine="0" w:firstLineChars="0"/>
              <w:jc w:val="center"/>
              <w:rPr>
                <w:rFonts w:hint="eastAsia" w:ascii="宋体" w:hAnsi="宋体" w:cs="宋体"/>
                <w:sz w:val="21"/>
                <w:szCs w:val="21"/>
              </w:rPr>
            </w:pPr>
            <w:r>
              <w:rPr>
                <w:rFonts w:hint="eastAsia" w:ascii="宋体" w:hAnsi="宋体" w:cs="宋体"/>
                <w:sz w:val="21"/>
                <w:szCs w:val="21"/>
              </w:rPr>
              <w:t>纯电动汽车制动能量回收系统示教板</w:t>
            </w:r>
          </w:p>
        </w:tc>
        <w:tc>
          <w:tcPr>
            <w:tcW w:w="3571" w:type="pct"/>
            <w:vAlign w:val="center"/>
          </w:tcPr>
          <w:p w14:paraId="51E6BAAE">
            <w:pPr>
              <w:pStyle w:val="42"/>
              <w:ind w:left="105" w:leftChars="50" w:firstLine="0" w:firstLineChars="0"/>
              <w:jc w:val="left"/>
              <w:rPr>
                <w:rFonts w:hint="eastAsia" w:ascii="宋体" w:hAnsi="宋体" w:cs="宋体"/>
                <w:sz w:val="21"/>
                <w:szCs w:val="21"/>
              </w:rPr>
            </w:pPr>
            <w:r>
              <w:rPr>
                <w:rFonts w:hint="eastAsia" w:ascii="宋体" w:hAnsi="宋体" w:cs="宋体"/>
                <w:sz w:val="21"/>
                <w:szCs w:val="21"/>
              </w:rPr>
              <w:t>一、产品组成要求：</w:t>
            </w:r>
            <w:r>
              <w:rPr>
                <w:rFonts w:hint="eastAsia" w:ascii="宋体" w:hAnsi="宋体" w:cs="宋体"/>
                <w:sz w:val="21"/>
                <w:szCs w:val="21"/>
              </w:rPr>
              <w:br w:type="textWrapping"/>
            </w:r>
            <w:r>
              <w:rPr>
                <w:rFonts w:hint="eastAsia" w:ascii="宋体" w:hAnsi="宋体" w:cs="宋体"/>
                <w:sz w:val="21"/>
                <w:szCs w:val="21"/>
              </w:rPr>
              <w:t>1、点火开关、油门踏板、挡位开关、制动开关、多功能液晶显示屏、电机、电机控制器、发光二极管动态指示、智能故障设置系统。</w:t>
            </w:r>
            <w:r>
              <w:rPr>
                <w:rFonts w:hint="eastAsia" w:ascii="宋体" w:hAnsi="宋体" w:cs="宋体"/>
                <w:sz w:val="21"/>
                <w:szCs w:val="21"/>
              </w:rPr>
              <w:br w:type="textWrapping"/>
            </w:r>
            <w:r>
              <w:rPr>
                <w:rFonts w:hint="eastAsia" w:ascii="宋体" w:hAnsi="宋体" w:cs="宋体"/>
                <w:sz w:val="21"/>
                <w:szCs w:val="21"/>
              </w:rPr>
              <w:t>二、产品规格要求：</w:t>
            </w:r>
            <w:r>
              <w:rPr>
                <w:rFonts w:hint="eastAsia" w:ascii="宋体" w:hAnsi="宋体" w:cs="宋体"/>
                <w:sz w:val="21"/>
                <w:szCs w:val="21"/>
              </w:rPr>
              <w:br w:type="textWrapping"/>
            </w:r>
            <w:r>
              <w:rPr>
                <w:rFonts w:hint="eastAsia" w:ascii="宋体" w:hAnsi="宋体" w:cs="宋体"/>
                <w:sz w:val="21"/>
                <w:szCs w:val="21"/>
              </w:rPr>
              <w:t>1、工作电压：直流12V</w:t>
            </w:r>
            <w:r>
              <w:rPr>
                <w:rFonts w:hint="eastAsia" w:ascii="宋体" w:hAnsi="宋体" w:cs="宋体"/>
                <w:sz w:val="21"/>
                <w:szCs w:val="21"/>
              </w:rPr>
              <w:br w:type="textWrapping"/>
            </w:r>
            <w:r>
              <w:rPr>
                <w:rFonts w:hint="eastAsia" w:ascii="宋体" w:hAnsi="宋体" w:cs="宋体"/>
                <w:sz w:val="21"/>
                <w:szCs w:val="21"/>
              </w:rPr>
              <w:t>2、工作温度：-40℃～+50℃</w:t>
            </w:r>
            <w:r>
              <w:rPr>
                <w:rFonts w:hint="eastAsia" w:ascii="宋体" w:hAnsi="宋体" w:cs="宋体"/>
                <w:sz w:val="21"/>
                <w:szCs w:val="21"/>
              </w:rPr>
              <w:br w:type="textWrapping"/>
            </w:r>
            <w:r>
              <w:rPr>
                <w:rFonts w:hint="eastAsia" w:ascii="宋体" w:hAnsi="宋体" w:cs="宋体"/>
                <w:sz w:val="21"/>
                <w:szCs w:val="21"/>
              </w:rPr>
              <w:t>3、外形尺寸(长*宽*高) ：≥1600*800*1800mm 。</w:t>
            </w:r>
            <w:r>
              <w:rPr>
                <w:rFonts w:hint="eastAsia" w:ascii="宋体" w:hAnsi="宋体" w:cs="宋体"/>
                <w:sz w:val="21"/>
                <w:szCs w:val="21"/>
              </w:rPr>
              <w:br w:type="textWrapping"/>
            </w:r>
            <w:r>
              <w:rPr>
                <w:rFonts w:hint="eastAsia" w:ascii="宋体" w:hAnsi="宋体" w:cs="宋体"/>
                <w:sz w:val="21"/>
                <w:szCs w:val="21"/>
              </w:rPr>
              <w:t>三、产品功能要求：</w:t>
            </w:r>
            <w:r>
              <w:rPr>
                <w:rFonts w:hint="eastAsia" w:ascii="宋体" w:hAnsi="宋体" w:cs="宋体"/>
                <w:sz w:val="21"/>
                <w:szCs w:val="21"/>
              </w:rPr>
              <w:br w:type="textWrapping"/>
            </w:r>
            <w:r>
              <w:rPr>
                <w:rFonts w:hint="eastAsia" w:ascii="宋体" w:hAnsi="宋体" w:cs="宋体"/>
                <w:sz w:val="21"/>
                <w:szCs w:val="21"/>
              </w:rPr>
              <w:t>1、该设备完整展示了纯电动汽车驱动能量输出与制动能量回收的工作基本原理，可动态模拟纯电动汽车驱动能量输出与制动能量回收在不同工况下的运行状态。（投标文件中需提供动态模拟驱动能量输出与制动能量回收的功能演示截图）</w:t>
            </w:r>
            <w:r>
              <w:rPr>
                <w:rFonts w:hint="eastAsia" w:ascii="宋体" w:hAnsi="宋体" w:cs="宋体"/>
                <w:sz w:val="21"/>
                <w:szCs w:val="21"/>
              </w:rPr>
              <w:br w:type="textWrapping"/>
            </w:r>
            <w:r>
              <w:rPr>
                <w:rFonts w:hint="eastAsia" w:ascii="宋体" w:hAnsi="宋体" w:cs="宋体"/>
                <w:sz w:val="21"/>
                <w:szCs w:val="21"/>
              </w:rPr>
              <w:t>2、 通过发光二极管指示电机驱动能量输出电流的流向，了解电机控制器驱动控制原理。</w:t>
            </w:r>
            <w:r>
              <w:rPr>
                <w:rFonts w:hint="eastAsia" w:ascii="宋体" w:hAnsi="宋体" w:cs="宋体"/>
                <w:sz w:val="21"/>
                <w:szCs w:val="21"/>
              </w:rPr>
              <w:br w:type="textWrapping"/>
            </w:r>
            <w:r>
              <w:rPr>
                <w:rFonts w:hint="eastAsia" w:ascii="宋体" w:hAnsi="宋体" w:cs="宋体"/>
                <w:sz w:val="21"/>
                <w:szCs w:val="21"/>
              </w:rPr>
              <w:t>3、 通过发光二极管指示电机制动能量回收电流的流向，了解电机控制器能量回收的控制原理。</w:t>
            </w:r>
            <w:r>
              <w:rPr>
                <w:rFonts w:hint="eastAsia" w:ascii="宋体" w:hAnsi="宋体" w:cs="宋体"/>
                <w:sz w:val="21"/>
                <w:szCs w:val="21"/>
              </w:rPr>
              <w:br w:type="textWrapping"/>
            </w:r>
            <w:r>
              <w:rPr>
                <w:rFonts w:hint="eastAsia" w:ascii="宋体" w:hAnsi="宋体" w:cs="宋体"/>
                <w:sz w:val="21"/>
                <w:szCs w:val="21"/>
              </w:rPr>
              <w:t>4、 发光二极管指示系统与电机控制器联动完整展示，电动车驱动和制动时能量的转换。</w:t>
            </w:r>
            <w:r>
              <w:rPr>
                <w:rFonts w:hint="eastAsia" w:ascii="宋体" w:hAnsi="宋体" w:cs="宋体"/>
                <w:sz w:val="21"/>
                <w:szCs w:val="21"/>
              </w:rPr>
              <w:br w:type="textWrapping"/>
            </w:r>
            <w:r>
              <w:rPr>
                <w:rFonts w:hint="eastAsia" w:ascii="宋体" w:hAnsi="宋体" w:cs="宋体"/>
                <w:sz w:val="21"/>
                <w:szCs w:val="21"/>
              </w:rPr>
              <w:t>5、 学员可通过台架面板上的工作原理图直观对照纯电动汽车驱动系统原理图和实物，认识和分析纯电动汽车驱动能量输出、制动能量回收的工作原理。</w:t>
            </w:r>
            <w:r>
              <w:rPr>
                <w:rFonts w:hint="eastAsia" w:ascii="宋体" w:hAnsi="宋体" w:cs="宋体"/>
                <w:sz w:val="21"/>
                <w:szCs w:val="21"/>
              </w:rPr>
              <w:br w:type="textWrapping"/>
            </w:r>
            <w:r>
              <w:rPr>
                <w:rFonts w:hint="eastAsia" w:ascii="宋体" w:hAnsi="宋体" w:cs="宋体"/>
                <w:sz w:val="21"/>
                <w:szCs w:val="21"/>
              </w:rPr>
              <w:t>6、通过油门踏板可以控制电机运转速度，电动机输出端配有惯性轮用于制动能量回收工况。</w:t>
            </w:r>
            <w:r>
              <w:rPr>
                <w:rFonts w:hint="eastAsia" w:ascii="宋体" w:hAnsi="宋体" w:cs="宋体"/>
                <w:sz w:val="21"/>
                <w:szCs w:val="21"/>
              </w:rPr>
              <w:br w:type="textWrapping"/>
            </w:r>
            <w:r>
              <w:rPr>
                <w:rFonts w:hint="eastAsia" w:ascii="宋体" w:hAnsi="宋体" w:cs="宋体"/>
                <w:sz w:val="21"/>
                <w:szCs w:val="21"/>
              </w:rPr>
              <w:t>7、示教板的电机控制器原理图上安装检测端子，可以使用检测仪器测量出电机控制器各信号端子的信号值。</w:t>
            </w:r>
            <w:r>
              <w:rPr>
                <w:rFonts w:hint="eastAsia" w:ascii="宋体" w:hAnsi="宋体" w:cs="宋体"/>
                <w:sz w:val="21"/>
                <w:szCs w:val="21"/>
              </w:rPr>
              <w:br w:type="textWrapping"/>
            </w:r>
            <w:r>
              <w:rPr>
                <w:rFonts w:hint="eastAsia" w:ascii="宋体" w:hAnsi="宋体" w:cs="宋体"/>
                <w:sz w:val="21"/>
                <w:szCs w:val="21"/>
              </w:rPr>
              <w:t>四、教学及实训项目：</w:t>
            </w:r>
            <w:r>
              <w:rPr>
                <w:rFonts w:hint="eastAsia" w:ascii="宋体" w:hAnsi="宋体" w:cs="宋体"/>
                <w:sz w:val="21"/>
                <w:szCs w:val="21"/>
              </w:rPr>
              <w:br w:type="textWrapping"/>
            </w:r>
            <w:r>
              <w:rPr>
                <w:rFonts w:hint="eastAsia" w:ascii="宋体" w:hAnsi="宋体" w:cs="宋体"/>
                <w:sz w:val="21"/>
                <w:szCs w:val="21"/>
              </w:rPr>
              <w:t>1、纯电动汽车驱动系统组成结构的认知</w:t>
            </w:r>
            <w:r>
              <w:rPr>
                <w:rFonts w:hint="eastAsia" w:ascii="宋体" w:hAnsi="宋体" w:cs="宋体"/>
                <w:sz w:val="21"/>
                <w:szCs w:val="21"/>
              </w:rPr>
              <w:br w:type="textWrapping"/>
            </w:r>
            <w:r>
              <w:rPr>
                <w:rFonts w:hint="eastAsia" w:ascii="宋体" w:hAnsi="宋体" w:cs="宋体"/>
                <w:sz w:val="21"/>
                <w:szCs w:val="21"/>
              </w:rPr>
              <w:t>2、永磁同步电机驱动能量输出工作原理的认知</w:t>
            </w:r>
            <w:r>
              <w:rPr>
                <w:rFonts w:hint="eastAsia" w:ascii="宋体" w:hAnsi="宋体" w:cs="宋体"/>
                <w:sz w:val="21"/>
                <w:szCs w:val="21"/>
              </w:rPr>
              <w:br w:type="textWrapping"/>
            </w:r>
            <w:r>
              <w:rPr>
                <w:rFonts w:hint="eastAsia" w:ascii="宋体" w:hAnsi="宋体" w:cs="宋体"/>
                <w:sz w:val="21"/>
                <w:szCs w:val="21"/>
              </w:rPr>
              <w:t>3、永磁同步电机制动能量回收工作原理的认知</w:t>
            </w:r>
            <w:r>
              <w:rPr>
                <w:rFonts w:hint="eastAsia" w:ascii="宋体" w:hAnsi="宋体" w:cs="宋体"/>
                <w:sz w:val="21"/>
                <w:szCs w:val="21"/>
              </w:rPr>
              <w:br w:type="textWrapping"/>
            </w:r>
            <w:r>
              <w:rPr>
                <w:rFonts w:hint="eastAsia" w:ascii="宋体" w:hAnsi="宋体" w:cs="宋体"/>
                <w:sz w:val="21"/>
                <w:szCs w:val="21"/>
              </w:rPr>
              <w:t>4、永磁同步电机能够实现能量回收的特性</w:t>
            </w:r>
            <w:r>
              <w:rPr>
                <w:rFonts w:hint="eastAsia" w:ascii="宋体" w:hAnsi="宋体" w:cs="宋体"/>
                <w:sz w:val="21"/>
                <w:szCs w:val="21"/>
              </w:rPr>
              <w:br w:type="textWrapping"/>
            </w:r>
            <w:r>
              <w:rPr>
                <w:rFonts w:hint="eastAsia" w:ascii="宋体" w:hAnsi="宋体" w:cs="宋体"/>
                <w:sz w:val="21"/>
                <w:szCs w:val="21"/>
              </w:rPr>
              <w:t>5、制动能量回收在纯电动汽车上的特性认识</w:t>
            </w:r>
          </w:p>
        </w:tc>
        <w:tc>
          <w:tcPr>
            <w:tcW w:w="357" w:type="pct"/>
            <w:vAlign w:val="center"/>
          </w:tcPr>
          <w:p w14:paraId="1B948B31">
            <w:pPr>
              <w:jc w:val="center"/>
              <w:rPr>
                <w:rFonts w:hint="eastAsia" w:ascii="宋体" w:hAnsi="宋体" w:cs="宋体"/>
                <w:szCs w:val="21"/>
              </w:rPr>
            </w:pPr>
            <w:r>
              <w:rPr>
                <w:rFonts w:hint="eastAsia" w:ascii="宋体" w:hAnsi="宋体" w:cs="宋体"/>
                <w:szCs w:val="21"/>
              </w:rPr>
              <w:t>1</w:t>
            </w:r>
          </w:p>
        </w:tc>
        <w:tc>
          <w:tcPr>
            <w:tcW w:w="341" w:type="pct"/>
            <w:vAlign w:val="center"/>
          </w:tcPr>
          <w:p w14:paraId="2CAC9272">
            <w:pPr>
              <w:jc w:val="center"/>
              <w:rPr>
                <w:rFonts w:hint="eastAsia" w:ascii="宋体" w:hAnsi="宋体" w:cs="宋体"/>
                <w:szCs w:val="21"/>
              </w:rPr>
            </w:pPr>
            <w:r>
              <w:rPr>
                <w:rFonts w:hint="eastAsia" w:ascii="宋体" w:hAnsi="宋体" w:cs="宋体"/>
                <w:szCs w:val="21"/>
              </w:rPr>
              <w:t>套</w:t>
            </w:r>
          </w:p>
        </w:tc>
      </w:tr>
      <w:tr w14:paraId="274E0E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trHeight w:val="695" w:hRule="atLeast"/>
        </w:trPr>
        <w:tc>
          <w:tcPr>
            <w:tcW w:w="193" w:type="pct"/>
            <w:vAlign w:val="center"/>
          </w:tcPr>
          <w:p w14:paraId="4D579FB4">
            <w:pPr>
              <w:jc w:val="center"/>
              <w:rPr>
                <w:rFonts w:hint="eastAsia" w:ascii="宋体" w:hAnsi="宋体" w:cs="宋体"/>
                <w:b/>
                <w:bCs/>
                <w:szCs w:val="21"/>
              </w:rPr>
            </w:pPr>
            <w:r>
              <w:rPr>
                <w:rFonts w:hint="eastAsia" w:ascii="宋体" w:hAnsi="宋体" w:cs="宋体"/>
                <w:szCs w:val="21"/>
              </w:rPr>
              <w:t>19</w:t>
            </w:r>
          </w:p>
        </w:tc>
        <w:tc>
          <w:tcPr>
            <w:tcW w:w="536" w:type="pct"/>
            <w:vAlign w:val="center"/>
          </w:tcPr>
          <w:p w14:paraId="35968D3D">
            <w:pPr>
              <w:pStyle w:val="80"/>
              <w:jc w:val="center"/>
              <w:rPr>
                <w:rFonts w:hint="eastAsia" w:ascii="宋体" w:hAnsi="宋体" w:cs="宋体"/>
              </w:rPr>
            </w:pPr>
            <w:r>
              <w:rPr>
                <w:rFonts w:hint="eastAsia" w:ascii="宋体" w:hAnsi="宋体" w:cs="宋体"/>
              </w:rPr>
              <w:t>纯电动汽车能量管理系统示教板</w:t>
            </w:r>
          </w:p>
        </w:tc>
        <w:tc>
          <w:tcPr>
            <w:tcW w:w="3571" w:type="pct"/>
            <w:vAlign w:val="center"/>
          </w:tcPr>
          <w:p w14:paraId="6BB5369F">
            <w:pPr>
              <w:pStyle w:val="80"/>
              <w:ind w:left="105" w:leftChars="50"/>
              <w:jc w:val="left"/>
              <w:rPr>
                <w:rFonts w:hint="eastAsia" w:ascii="宋体" w:hAnsi="宋体" w:cs="宋体"/>
              </w:rPr>
            </w:pPr>
            <w:r>
              <w:rPr>
                <w:rFonts w:hint="eastAsia" w:ascii="宋体" w:hAnsi="宋体" w:cs="宋体"/>
              </w:rPr>
              <w:t>一、产品组成要求：</w:t>
            </w:r>
            <w:r>
              <w:rPr>
                <w:rFonts w:hint="eastAsia" w:ascii="宋体" w:hAnsi="宋体" w:cs="宋体"/>
              </w:rPr>
              <w:br w:type="textWrapping"/>
            </w:r>
            <w:r>
              <w:rPr>
                <w:rFonts w:hint="eastAsia" w:ascii="宋体" w:hAnsi="宋体" w:cs="宋体"/>
              </w:rPr>
              <w:t>1、点火开关、工况开关、油门踏板、挡位开关、制动开关、数字转速表、电流指示表等。</w:t>
            </w:r>
            <w:r>
              <w:rPr>
                <w:rFonts w:hint="eastAsia" w:ascii="宋体" w:hAnsi="宋体" w:cs="宋体"/>
              </w:rPr>
              <w:br w:type="textWrapping"/>
            </w:r>
            <w:r>
              <w:rPr>
                <w:rFonts w:hint="eastAsia" w:ascii="宋体" w:hAnsi="宋体" w:cs="宋体"/>
              </w:rPr>
              <w:t>二、产品规格要求：</w:t>
            </w:r>
            <w:r>
              <w:rPr>
                <w:rFonts w:hint="eastAsia" w:ascii="宋体" w:hAnsi="宋体" w:cs="宋体"/>
              </w:rPr>
              <w:br w:type="textWrapping"/>
            </w:r>
            <w:r>
              <w:rPr>
                <w:rFonts w:hint="eastAsia" w:ascii="宋体" w:hAnsi="宋体" w:cs="宋体"/>
              </w:rPr>
              <w:t>1、 外接电源：交流 220V±10% 50Hz</w:t>
            </w:r>
            <w:r>
              <w:rPr>
                <w:rFonts w:hint="eastAsia" w:ascii="宋体" w:hAnsi="宋体" w:cs="宋体"/>
              </w:rPr>
              <w:br w:type="textWrapping"/>
            </w:r>
            <w:r>
              <w:rPr>
                <w:rFonts w:hint="eastAsia" w:ascii="宋体" w:hAnsi="宋体" w:cs="宋体"/>
              </w:rPr>
              <w:t>2、 工作电压：直流 12V</w:t>
            </w:r>
            <w:r>
              <w:rPr>
                <w:rFonts w:hint="eastAsia" w:ascii="宋体" w:hAnsi="宋体" w:cs="宋体"/>
              </w:rPr>
              <w:br w:type="textWrapping"/>
            </w:r>
            <w:r>
              <w:rPr>
                <w:rFonts w:hint="eastAsia" w:ascii="宋体" w:hAnsi="宋体" w:cs="宋体"/>
              </w:rPr>
              <w:t>3、 工作温度：-40℃～+50℃</w:t>
            </w:r>
            <w:r>
              <w:rPr>
                <w:rFonts w:hint="eastAsia" w:ascii="宋体" w:hAnsi="宋体" w:cs="宋体"/>
              </w:rPr>
              <w:br w:type="textWrapping"/>
            </w:r>
            <w:r>
              <w:rPr>
                <w:rFonts w:hint="eastAsia" w:ascii="宋体" w:hAnsi="宋体" w:cs="宋体"/>
              </w:rPr>
              <w:t>4、 外形尺寸(长×宽×高)：≥1600×700×1700mm</w:t>
            </w:r>
            <w:r>
              <w:rPr>
                <w:rFonts w:hint="eastAsia" w:ascii="宋体" w:hAnsi="宋体" w:cs="宋体"/>
              </w:rPr>
              <w:br w:type="textWrapping"/>
            </w:r>
            <w:r>
              <w:rPr>
                <w:rFonts w:hint="eastAsia" w:ascii="宋体" w:hAnsi="宋体" w:cs="宋体"/>
              </w:rPr>
              <w:t>三、产品功能要求：</w:t>
            </w:r>
            <w:r>
              <w:rPr>
                <w:rFonts w:hint="eastAsia" w:ascii="宋体" w:hAnsi="宋体" w:cs="宋体"/>
              </w:rPr>
              <w:br w:type="textWrapping"/>
            </w:r>
            <w:r>
              <w:rPr>
                <w:rFonts w:hint="eastAsia" w:ascii="宋体" w:hAnsi="宋体" w:cs="宋体"/>
              </w:rPr>
              <w:t>1、该设备完整展示了纯电动汽车能量管理系统，可以动态模拟纯电动汽车的启动、低速行驶、一般行驶、全速行驶、减速行驶和停车六种工况下的能量流动方向以及电动机的运行状态。</w:t>
            </w:r>
            <w:r>
              <w:rPr>
                <w:rFonts w:hint="eastAsia" w:ascii="宋体" w:hAnsi="宋体" w:cs="宋体"/>
              </w:rPr>
              <w:br w:type="textWrapping"/>
            </w:r>
            <w:r>
              <w:rPr>
                <w:rFonts w:hint="eastAsia" w:ascii="宋体" w:hAnsi="宋体" w:cs="宋体"/>
              </w:rPr>
              <w:t>2、示教板面板上安装有点火开关、工况开关、油门踏板、挡位开关、制动开关、数字转速表、电流指示表等，并辅以发光二极管进行系统流向的动态指示，还设有一台模拟电机用来演示电动机的工作状态。</w:t>
            </w:r>
            <w:r>
              <w:rPr>
                <w:rFonts w:hint="eastAsia" w:ascii="宋体" w:hAnsi="宋体" w:cs="宋体"/>
              </w:rPr>
              <w:br w:type="textWrapping"/>
            </w:r>
            <w:r>
              <w:rPr>
                <w:rFonts w:hint="eastAsia" w:ascii="宋体" w:hAnsi="宋体" w:cs="宋体"/>
              </w:rPr>
              <w:t>3、示教板工作采用普通 220V 交流电源，经内部电路变压整流转换成 12V直流电源，无需蓄电池，减少充电的麻烦，12V直流电源有防短路功能。</w:t>
            </w:r>
            <w:r>
              <w:rPr>
                <w:rFonts w:hint="eastAsia" w:ascii="宋体" w:hAnsi="宋体" w:cs="宋体"/>
              </w:rPr>
              <w:br w:type="textWrapping"/>
            </w:r>
            <w:r>
              <w:rPr>
                <w:rFonts w:hint="eastAsia" w:ascii="宋体" w:hAnsi="宋体" w:cs="宋体"/>
              </w:rPr>
              <w:t>四、教学及实训项目</w:t>
            </w:r>
            <w:r>
              <w:rPr>
                <w:rFonts w:hint="eastAsia" w:ascii="宋体" w:hAnsi="宋体" w:cs="宋体"/>
              </w:rPr>
              <w:br w:type="textWrapping"/>
            </w:r>
            <w:r>
              <w:rPr>
                <w:rFonts w:hint="eastAsia" w:ascii="宋体" w:hAnsi="宋体" w:cs="宋体"/>
              </w:rPr>
              <w:t>1、 纯电动汽车能量管理示教系统原件认识</w:t>
            </w:r>
            <w:r>
              <w:rPr>
                <w:rFonts w:hint="eastAsia" w:ascii="宋体" w:hAnsi="宋体" w:cs="宋体"/>
              </w:rPr>
              <w:br w:type="textWrapping"/>
            </w:r>
            <w:r>
              <w:rPr>
                <w:rFonts w:hint="eastAsia" w:ascii="宋体" w:hAnsi="宋体" w:cs="宋体"/>
              </w:rPr>
              <w:t>2、 纯电动汽车能量管理示教系统工作原理</w:t>
            </w:r>
          </w:p>
        </w:tc>
        <w:tc>
          <w:tcPr>
            <w:tcW w:w="357" w:type="pct"/>
            <w:vAlign w:val="center"/>
          </w:tcPr>
          <w:p w14:paraId="21FD6D52">
            <w:pPr>
              <w:jc w:val="center"/>
              <w:rPr>
                <w:rFonts w:hint="eastAsia" w:ascii="宋体" w:hAnsi="宋体" w:cs="宋体"/>
                <w:szCs w:val="21"/>
              </w:rPr>
            </w:pPr>
            <w:r>
              <w:rPr>
                <w:rFonts w:hint="eastAsia" w:ascii="宋体" w:hAnsi="宋体" w:cs="宋体"/>
                <w:szCs w:val="21"/>
              </w:rPr>
              <w:t>1</w:t>
            </w:r>
          </w:p>
        </w:tc>
        <w:tc>
          <w:tcPr>
            <w:tcW w:w="341" w:type="pct"/>
            <w:vAlign w:val="center"/>
          </w:tcPr>
          <w:p w14:paraId="1257AA80">
            <w:pPr>
              <w:jc w:val="center"/>
              <w:rPr>
                <w:rFonts w:hint="eastAsia" w:ascii="宋体" w:hAnsi="宋体" w:cs="宋体"/>
                <w:szCs w:val="21"/>
              </w:rPr>
            </w:pPr>
          </w:p>
          <w:p w14:paraId="48349D75">
            <w:pPr>
              <w:jc w:val="center"/>
              <w:rPr>
                <w:rFonts w:hint="eastAsia" w:ascii="宋体" w:hAnsi="宋体" w:cs="宋体"/>
                <w:szCs w:val="21"/>
              </w:rPr>
            </w:pPr>
          </w:p>
          <w:p w14:paraId="25896ABF">
            <w:pPr>
              <w:jc w:val="center"/>
              <w:rPr>
                <w:rFonts w:hint="eastAsia" w:ascii="宋体" w:hAnsi="宋体" w:cs="宋体"/>
                <w:szCs w:val="21"/>
              </w:rPr>
            </w:pPr>
          </w:p>
          <w:p w14:paraId="23D0E1AD">
            <w:pPr>
              <w:jc w:val="center"/>
              <w:rPr>
                <w:rFonts w:hint="eastAsia" w:ascii="宋体" w:hAnsi="宋体" w:cs="宋体"/>
                <w:szCs w:val="21"/>
              </w:rPr>
            </w:pPr>
          </w:p>
          <w:p w14:paraId="1F6E7DD8">
            <w:pPr>
              <w:jc w:val="center"/>
              <w:rPr>
                <w:rFonts w:hint="eastAsia" w:ascii="宋体" w:hAnsi="宋体" w:cs="宋体"/>
                <w:szCs w:val="21"/>
              </w:rPr>
            </w:pPr>
          </w:p>
          <w:p w14:paraId="6CDE92B2">
            <w:pPr>
              <w:jc w:val="center"/>
              <w:rPr>
                <w:rFonts w:hint="eastAsia" w:ascii="宋体" w:hAnsi="宋体" w:cs="宋体"/>
                <w:szCs w:val="21"/>
              </w:rPr>
            </w:pPr>
          </w:p>
          <w:p w14:paraId="31AE9E97">
            <w:pPr>
              <w:jc w:val="center"/>
              <w:rPr>
                <w:rFonts w:hint="eastAsia" w:ascii="宋体" w:hAnsi="宋体" w:cs="宋体"/>
                <w:szCs w:val="21"/>
              </w:rPr>
            </w:pPr>
          </w:p>
          <w:p w14:paraId="1306DE4D">
            <w:pPr>
              <w:jc w:val="center"/>
              <w:rPr>
                <w:rFonts w:hint="eastAsia" w:ascii="宋体" w:hAnsi="宋体" w:cs="宋体"/>
                <w:szCs w:val="21"/>
              </w:rPr>
            </w:pPr>
          </w:p>
          <w:p w14:paraId="098AE27A">
            <w:pPr>
              <w:jc w:val="center"/>
              <w:rPr>
                <w:rFonts w:hint="eastAsia" w:ascii="宋体" w:hAnsi="宋体" w:cs="宋体"/>
                <w:szCs w:val="21"/>
              </w:rPr>
            </w:pPr>
          </w:p>
          <w:p w14:paraId="301F2622">
            <w:pPr>
              <w:jc w:val="center"/>
              <w:rPr>
                <w:rFonts w:hint="eastAsia" w:ascii="宋体" w:hAnsi="宋体" w:cs="宋体"/>
                <w:szCs w:val="21"/>
              </w:rPr>
            </w:pPr>
          </w:p>
          <w:p w14:paraId="3606A897">
            <w:pPr>
              <w:jc w:val="center"/>
              <w:rPr>
                <w:rFonts w:hint="eastAsia" w:ascii="宋体" w:hAnsi="宋体" w:cs="宋体"/>
                <w:szCs w:val="21"/>
              </w:rPr>
            </w:pPr>
            <w:r>
              <w:rPr>
                <w:rFonts w:hint="eastAsia" w:ascii="宋体" w:hAnsi="宋体" w:cs="宋体"/>
                <w:szCs w:val="21"/>
              </w:rPr>
              <w:t>套</w:t>
            </w:r>
          </w:p>
          <w:p w14:paraId="387E7236">
            <w:pPr>
              <w:jc w:val="center"/>
              <w:rPr>
                <w:rFonts w:hint="eastAsia" w:ascii="宋体" w:hAnsi="宋体" w:cs="宋体"/>
                <w:szCs w:val="21"/>
              </w:rPr>
            </w:pPr>
          </w:p>
          <w:p w14:paraId="65F054C9">
            <w:pPr>
              <w:jc w:val="center"/>
              <w:rPr>
                <w:rFonts w:hint="eastAsia" w:ascii="宋体" w:hAnsi="宋体" w:cs="宋体"/>
                <w:szCs w:val="21"/>
              </w:rPr>
            </w:pPr>
          </w:p>
          <w:p w14:paraId="4FF194AF">
            <w:pPr>
              <w:jc w:val="center"/>
              <w:rPr>
                <w:rFonts w:hint="eastAsia" w:ascii="宋体" w:hAnsi="宋体" w:cs="宋体"/>
                <w:szCs w:val="21"/>
              </w:rPr>
            </w:pPr>
          </w:p>
          <w:p w14:paraId="01E1EC79">
            <w:pPr>
              <w:jc w:val="center"/>
              <w:rPr>
                <w:rFonts w:hint="eastAsia" w:ascii="宋体" w:hAnsi="宋体" w:cs="宋体"/>
                <w:szCs w:val="21"/>
              </w:rPr>
            </w:pPr>
          </w:p>
          <w:p w14:paraId="53398AD7">
            <w:pPr>
              <w:jc w:val="center"/>
              <w:rPr>
                <w:rFonts w:hint="eastAsia" w:ascii="宋体" w:hAnsi="宋体" w:cs="宋体"/>
                <w:szCs w:val="21"/>
              </w:rPr>
            </w:pPr>
          </w:p>
          <w:p w14:paraId="61902C61">
            <w:pPr>
              <w:jc w:val="center"/>
              <w:rPr>
                <w:rFonts w:hint="eastAsia" w:ascii="宋体" w:hAnsi="宋体" w:cs="宋体"/>
                <w:szCs w:val="21"/>
              </w:rPr>
            </w:pPr>
          </w:p>
          <w:p w14:paraId="730360A6">
            <w:pPr>
              <w:jc w:val="center"/>
              <w:rPr>
                <w:rFonts w:hint="eastAsia" w:ascii="宋体" w:hAnsi="宋体" w:cs="宋体"/>
                <w:szCs w:val="21"/>
              </w:rPr>
            </w:pPr>
          </w:p>
          <w:p w14:paraId="639FB138">
            <w:pPr>
              <w:jc w:val="center"/>
              <w:rPr>
                <w:rFonts w:hint="eastAsia" w:ascii="宋体" w:hAnsi="宋体" w:cs="宋体"/>
                <w:szCs w:val="21"/>
              </w:rPr>
            </w:pPr>
          </w:p>
          <w:p w14:paraId="005EA75C">
            <w:pPr>
              <w:jc w:val="center"/>
              <w:rPr>
                <w:rFonts w:hint="eastAsia" w:ascii="宋体" w:hAnsi="宋体" w:cs="宋体"/>
                <w:szCs w:val="21"/>
              </w:rPr>
            </w:pPr>
          </w:p>
          <w:p w14:paraId="4A472B1F">
            <w:pPr>
              <w:jc w:val="center"/>
              <w:rPr>
                <w:rFonts w:hint="eastAsia" w:ascii="宋体" w:hAnsi="宋体" w:cs="宋体"/>
                <w:szCs w:val="21"/>
              </w:rPr>
            </w:pPr>
          </w:p>
        </w:tc>
      </w:tr>
      <w:tr w14:paraId="55367A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trHeight w:val="695" w:hRule="atLeast"/>
        </w:trPr>
        <w:tc>
          <w:tcPr>
            <w:tcW w:w="193" w:type="pct"/>
            <w:vAlign w:val="center"/>
          </w:tcPr>
          <w:p w14:paraId="78958624">
            <w:pPr>
              <w:jc w:val="center"/>
              <w:rPr>
                <w:rFonts w:hint="eastAsia" w:ascii="宋体" w:hAnsi="宋体" w:cs="宋体"/>
                <w:b/>
                <w:bCs/>
                <w:szCs w:val="21"/>
              </w:rPr>
            </w:pPr>
            <w:r>
              <w:rPr>
                <w:rFonts w:hint="eastAsia" w:ascii="宋体" w:hAnsi="宋体" w:cs="宋体"/>
                <w:szCs w:val="21"/>
              </w:rPr>
              <w:t>20</w:t>
            </w:r>
          </w:p>
        </w:tc>
        <w:tc>
          <w:tcPr>
            <w:tcW w:w="536" w:type="pct"/>
            <w:vAlign w:val="center"/>
          </w:tcPr>
          <w:p w14:paraId="1B4812FC">
            <w:pPr>
              <w:pStyle w:val="80"/>
              <w:jc w:val="center"/>
              <w:rPr>
                <w:rFonts w:hint="eastAsia" w:ascii="宋体" w:hAnsi="宋体" w:cs="宋体"/>
              </w:rPr>
            </w:pPr>
            <w:r>
              <w:rPr>
                <w:rFonts w:hint="eastAsia" w:ascii="宋体" w:hAnsi="宋体" w:cs="宋体"/>
              </w:rPr>
              <w:t>永磁无刷直流电机实训考核系统</w:t>
            </w:r>
          </w:p>
        </w:tc>
        <w:tc>
          <w:tcPr>
            <w:tcW w:w="3571" w:type="pct"/>
            <w:vAlign w:val="center"/>
          </w:tcPr>
          <w:p w14:paraId="370D036C">
            <w:pPr>
              <w:pStyle w:val="80"/>
              <w:numPr>
                <w:ilvl w:val="0"/>
                <w:numId w:val="5"/>
              </w:numPr>
              <w:jc w:val="left"/>
              <w:rPr>
                <w:rFonts w:hint="eastAsia" w:ascii="宋体" w:hAnsi="宋体" w:cs="宋体"/>
              </w:rPr>
            </w:pPr>
            <w:r>
              <w:rPr>
                <w:rFonts w:hint="eastAsia" w:ascii="宋体" w:hAnsi="宋体" w:cs="宋体"/>
              </w:rPr>
              <w:t>产品组成要求：</w:t>
            </w:r>
            <w:r>
              <w:rPr>
                <w:rFonts w:hint="eastAsia" w:ascii="宋体" w:hAnsi="宋体" w:cs="宋体"/>
              </w:rPr>
              <w:br w:type="textWrapping"/>
            </w:r>
            <w:r>
              <w:rPr>
                <w:rFonts w:hint="eastAsia" w:ascii="宋体" w:hAnsi="宋体" w:cs="宋体"/>
              </w:rPr>
              <w:t>永磁同步电机、永磁同步电机控制器、档位开关、启动开关、制动模拟开关、加速踏板、DC/DC转换器、车载充电机、72V锂电池包、电机支撑架、电池管理系统BMS、12V蓄电池、油门踏板、急停开关、国标充电枪、国标充电座、铝型材外观台架。</w:t>
            </w:r>
            <w:r>
              <w:rPr>
                <w:rFonts w:hint="eastAsia" w:ascii="宋体" w:hAnsi="宋体" w:cs="宋体"/>
              </w:rPr>
              <w:br w:type="textWrapping"/>
            </w:r>
            <w:r>
              <w:rPr>
                <w:rFonts w:hint="eastAsia" w:ascii="宋体" w:hAnsi="宋体" w:cs="宋体"/>
              </w:rPr>
              <w:t>二、产品规格要求：</w:t>
            </w:r>
            <w:r>
              <w:rPr>
                <w:rFonts w:hint="eastAsia" w:ascii="宋体" w:hAnsi="宋体" w:cs="宋体"/>
              </w:rPr>
              <w:br w:type="textWrapping"/>
            </w:r>
            <w:r>
              <w:rPr>
                <w:rFonts w:hint="eastAsia" w:ascii="宋体" w:hAnsi="宋体" w:cs="宋体"/>
              </w:rPr>
              <w:t>1、外形尺寸：（长×宽×高)（1600-1610）x（700-710）x（1700-1710）mm；</w:t>
            </w:r>
            <w:r>
              <w:rPr>
                <w:rFonts w:hint="eastAsia" w:ascii="宋体" w:hAnsi="宋体" w:cs="宋体"/>
              </w:rPr>
              <w:br w:type="textWrapping"/>
            </w:r>
            <w:r>
              <w:rPr>
                <w:rFonts w:hint="eastAsia" w:ascii="宋体" w:hAnsi="宋体" w:cs="宋体"/>
              </w:rPr>
              <w:t>2、外接充电电源：AC220V</w:t>
            </w:r>
            <w:r>
              <w:rPr>
                <w:rFonts w:hint="eastAsia" w:ascii="宋体" w:hAnsi="宋体" w:cs="宋体"/>
              </w:rPr>
              <w:br w:type="textWrapping"/>
            </w:r>
            <w:r>
              <w:rPr>
                <w:rFonts w:hint="eastAsia" w:ascii="宋体" w:hAnsi="宋体" w:cs="宋体"/>
              </w:rPr>
              <w:t>3、工作电压：直流12V；高压直流72V</w:t>
            </w:r>
            <w:r>
              <w:rPr>
                <w:rFonts w:hint="eastAsia" w:ascii="宋体" w:hAnsi="宋体" w:cs="宋体"/>
              </w:rPr>
              <w:br w:type="textWrapping"/>
            </w:r>
            <w:r>
              <w:rPr>
                <w:rFonts w:hint="eastAsia" w:ascii="宋体" w:hAnsi="宋体" w:cs="宋体"/>
              </w:rPr>
              <w:t>4、工作温度：-40℃～+50℃</w:t>
            </w:r>
            <w:r>
              <w:rPr>
                <w:rFonts w:hint="eastAsia" w:ascii="宋体" w:hAnsi="宋体" w:cs="宋体"/>
              </w:rPr>
              <w:br w:type="textWrapping"/>
            </w:r>
            <w:r>
              <w:rPr>
                <w:rFonts w:hint="eastAsia" w:ascii="宋体" w:hAnsi="宋体" w:cs="宋体"/>
              </w:rPr>
              <w:t>三、产品功能要求:</w:t>
            </w:r>
            <w:r>
              <w:rPr>
                <w:rFonts w:hint="eastAsia" w:ascii="宋体" w:hAnsi="宋体" w:cs="宋体"/>
              </w:rPr>
              <w:br w:type="textWrapping"/>
            </w:r>
            <w:r>
              <w:rPr>
                <w:rFonts w:hint="eastAsia" w:ascii="宋体" w:hAnsi="宋体" w:cs="宋体"/>
              </w:rPr>
              <w:t>1、实训台可启动运行，充分展示低速纯电动汽车驱动电机系统的各个组成部件，主要包括：动力电池及管理系统BMS、充电系统、电机驱动系统的所有相关电子控制单元、电机驱动系统控制器、电机硬件、制动模拟开关、传感器等组成全部展示出来。</w:t>
            </w:r>
            <w:r>
              <w:rPr>
                <w:rFonts w:hint="eastAsia" w:ascii="宋体" w:hAnsi="宋体" w:cs="宋体"/>
              </w:rPr>
              <w:br w:type="textWrapping"/>
            </w:r>
            <w:r>
              <w:rPr>
                <w:rFonts w:hint="eastAsia" w:ascii="宋体" w:hAnsi="宋体" w:cs="宋体"/>
              </w:rPr>
              <w:t xml:space="preserve">2、运行工况分析功能，开启点火开关即可挂档使设备运行，可以实现启动工况、待机工况、急加速工况等工况。 </w:t>
            </w:r>
            <w:r>
              <w:rPr>
                <w:rFonts w:hint="eastAsia" w:ascii="宋体" w:hAnsi="宋体" w:cs="宋体"/>
              </w:rPr>
              <w:br w:type="textWrapping"/>
            </w:r>
            <w:r>
              <w:rPr>
                <w:rFonts w:hint="eastAsia" w:ascii="宋体" w:hAnsi="宋体" w:cs="宋体"/>
              </w:rPr>
              <w:t xml:space="preserve">3、实训台可通过连接上位机软件，实时显示上电状态、高压电池荷电量SOC、单体电池电压、绝缘阻值等参数变化。 </w:t>
            </w:r>
            <w:r>
              <w:rPr>
                <w:rFonts w:hint="eastAsia" w:ascii="宋体" w:hAnsi="宋体" w:cs="宋体"/>
              </w:rPr>
              <w:br w:type="textWrapping"/>
            </w:r>
            <w:r>
              <w:rPr>
                <w:rFonts w:hint="eastAsia" w:ascii="宋体" w:hAnsi="宋体" w:cs="宋体"/>
              </w:rPr>
              <w:t>4、检测功能：实训台面板上有电路原理图及安装有检测端子、可以直接在面板上检测各控制单元管脚的参数，如电阻、电压信号等。</w:t>
            </w:r>
            <w:r>
              <w:rPr>
                <w:rFonts w:hint="eastAsia" w:ascii="宋体" w:hAnsi="宋体" w:cs="宋体"/>
              </w:rPr>
              <w:br w:type="textWrapping"/>
            </w:r>
            <w:r>
              <w:rPr>
                <w:rFonts w:hint="eastAsia" w:ascii="宋体" w:hAnsi="宋体" w:cs="宋体"/>
              </w:rPr>
              <w:t>5、充电演示功能:实训台配有交流充电接口及充电枪，AC220V的电源，可以对实训台进行充电。</w:t>
            </w:r>
            <w:r>
              <w:rPr>
                <w:rFonts w:hint="eastAsia" w:ascii="宋体" w:hAnsi="宋体" w:cs="宋体"/>
              </w:rPr>
              <w:br w:type="textWrapping"/>
            </w:r>
            <w:r>
              <w:rPr>
                <w:rFonts w:hint="eastAsia" w:ascii="宋体" w:hAnsi="宋体" w:cs="宋体"/>
              </w:rPr>
              <w:t>6.配置网络在线考试系统</w:t>
            </w:r>
          </w:p>
          <w:p w14:paraId="094910B7">
            <w:pPr>
              <w:pStyle w:val="80"/>
              <w:numPr>
                <w:ilvl w:val="0"/>
                <w:numId w:val="5"/>
              </w:numPr>
              <w:jc w:val="left"/>
              <w:rPr>
                <w:rFonts w:hint="eastAsia" w:ascii="宋体" w:hAnsi="宋体" w:cs="宋体"/>
              </w:rPr>
            </w:pPr>
            <w:r>
              <w:rPr>
                <w:rFonts w:hint="eastAsia" w:ascii="宋体" w:hAnsi="宋体" w:cs="宋体"/>
              </w:rPr>
              <w:t>网络在线考试系统采用安卓系统与蓝牙无线网络为基础，集成故障设置、APP软件可在任意安卓系统的智能手机或平板电脑上运行。系统主要由无线故障设置系统和触摸屏的故障考核系统两部分组成，教师在讲课时，用带安卓系统的手机或平板电脑远程无线设置故障，方便教师教学讲课。学生考核可在触摸屏故障考核系统上完成。</w:t>
            </w:r>
            <w:r>
              <w:rPr>
                <w:rFonts w:hint="eastAsia" w:ascii="宋体" w:hAnsi="宋体" w:cs="宋体"/>
              </w:rPr>
              <w:br w:type="textWrapping"/>
            </w:r>
            <w:r>
              <w:rPr>
                <w:rFonts w:hint="eastAsia" w:ascii="宋体" w:hAnsi="宋体" w:cs="宋体"/>
              </w:rPr>
              <w:t>6.1配备5寸触摸控制屏：触摸屏内安装考核管理系统软件，具有教师登录界面和学生登录界面，教师登录界面配有考核故障设置、考核时间设置、登录密码设置、考核成绩查询、用户信息设置功能。</w:t>
            </w:r>
            <w:r>
              <w:rPr>
                <w:rFonts w:hint="eastAsia" w:ascii="宋体" w:hAnsi="宋体" w:cs="宋体"/>
              </w:rPr>
              <w:br w:type="textWrapping"/>
            </w:r>
            <w:r>
              <w:rPr>
                <w:rFonts w:hint="eastAsia" w:ascii="宋体" w:hAnsi="宋体" w:cs="宋体"/>
              </w:rPr>
              <w:t>6.2通过智能化故障设置器对设备相关控制线路进行断路故障设置，通过所设置的故障对设备进行故障诊断与排除:断路故障设置可以设置最少20路的故障,虚接故障设置可以设置最少20路的故障,短路故障设置可以设置最少6路的信号对地短路故障。（注:此实训台只用断路故障功能）</w:t>
            </w:r>
            <w:r>
              <w:rPr>
                <w:rFonts w:hint="eastAsia" w:ascii="宋体" w:hAnsi="宋体" w:cs="宋体"/>
              </w:rPr>
              <w:br w:type="textWrapping"/>
            </w:r>
            <w:r>
              <w:rPr>
                <w:rFonts w:hint="eastAsia" w:ascii="宋体" w:hAnsi="宋体" w:cs="宋体"/>
              </w:rPr>
              <w:t>6.3故障名称设置功能可以把故障名称自定义编辑命名,所有故障设置界面都具有“全部设置”“全部清除”功能。</w:t>
            </w:r>
            <w:r>
              <w:rPr>
                <w:rFonts w:hint="eastAsia" w:ascii="宋体" w:hAnsi="宋体" w:cs="宋体"/>
              </w:rPr>
              <w:br w:type="textWrapping"/>
            </w:r>
            <w:r>
              <w:rPr>
                <w:rFonts w:hint="eastAsia" w:ascii="宋体" w:hAnsi="宋体" w:cs="宋体"/>
              </w:rPr>
              <w:t>6.4故障设置器板采用LM2596S电源芯片输入输出做反接保护处理，主控制芯片采用双12C5A08S2系列单片机，采用SRA-12VDC-CL大电流继电器作为故障设置开关，继电器使用ULN2803APG芯片控制线圈引脚。故障设置器所有故障点都安装故障指示灯并能够外接，每块故障设置器板都预留启动控制接口方便功能拓展。</w:t>
            </w:r>
            <w:r>
              <w:rPr>
                <w:rFonts w:hint="eastAsia" w:ascii="宋体" w:hAnsi="宋体" w:cs="宋体"/>
              </w:rPr>
              <w:br w:type="textWrapping"/>
            </w:r>
            <w:r>
              <w:rPr>
                <w:rFonts w:hint="eastAsia" w:ascii="宋体" w:hAnsi="宋体" w:cs="宋体"/>
              </w:rPr>
              <w:t>6.5故障设置器具有可拓展功能，最大允许扩容的100路故障。故障设置器主通讯板尺寸长153mm宽86mm，继电器板长205mm宽177mm。</w:t>
            </w:r>
            <w:r>
              <w:rPr>
                <w:rFonts w:hint="eastAsia" w:ascii="宋体" w:hAnsi="宋体" w:cs="宋体"/>
              </w:rPr>
              <w:br w:type="textWrapping"/>
            </w:r>
            <w:r>
              <w:rPr>
                <w:rFonts w:hint="eastAsia" w:ascii="宋体" w:hAnsi="宋体" w:cs="宋体"/>
              </w:rPr>
              <w:t>四、教学及实训项目:</w:t>
            </w:r>
            <w:r>
              <w:rPr>
                <w:rFonts w:hint="eastAsia" w:ascii="宋体" w:hAnsi="宋体" w:cs="宋体"/>
              </w:rPr>
              <w:br w:type="textWrapping"/>
            </w:r>
            <w:r>
              <w:rPr>
                <w:rFonts w:hint="eastAsia" w:ascii="宋体" w:hAnsi="宋体" w:cs="宋体"/>
              </w:rPr>
              <w:t>1、了解动力电池组的内部结构组成</w:t>
            </w:r>
            <w:r>
              <w:rPr>
                <w:rFonts w:hint="eastAsia" w:ascii="宋体" w:hAnsi="宋体" w:cs="宋体"/>
              </w:rPr>
              <w:br w:type="textWrapping"/>
            </w:r>
            <w:r>
              <w:rPr>
                <w:rFonts w:hint="eastAsia" w:ascii="宋体" w:hAnsi="宋体" w:cs="宋体"/>
              </w:rPr>
              <w:t>2、单体电池的连接方式</w:t>
            </w:r>
            <w:r>
              <w:rPr>
                <w:rFonts w:hint="eastAsia" w:ascii="宋体" w:hAnsi="宋体" w:cs="宋体"/>
              </w:rPr>
              <w:br w:type="textWrapping"/>
            </w:r>
            <w:r>
              <w:rPr>
                <w:rFonts w:hint="eastAsia" w:ascii="宋体" w:hAnsi="宋体" w:cs="宋体"/>
              </w:rPr>
              <w:t>3、单体电池模块的安装位置及接线</w:t>
            </w:r>
            <w:r>
              <w:rPr>
                <w:rFonts w:hint="eastAsia" w:ascii="宋体" w:hAnsi="宋体" w:cs="宋体"/>
              </w:rPr>
              <w:br w:type="textWrapping"/>
            </w:r>
            <w:r>
              <w:rPr>
                <w:rFonts w:hint="eastAsia" w:ascii="宋体" w:hAnsi="宋体" w:cs="宋体"/>
              </w:rPr>
              <w:t>4、DC+和DC-主电源线的区分、拆装及电压检测</w:t>
            </w:r>
            <w:r>
              <w:rPr>
                <w:rFonts w:hint="eastAsia" w:ascii="宋体" w:hAnsi="宋体" w:cs="宋体"/>
              </w:rPr>
              <w:br w:type="textWrapping"/>
            </w:r>
            <w:r>
              <w:rPr>
                <w:rFonts w:hint="eastAsia" w:ascii="宋体" w:hAnsi="宋体" w:cs="宋体"/>
              </w:rPr>
              <w:t>5、电池管理控制系统控制器的位置、作用、控制内容、控制原理。</w:t>
            </w:r>
            <w:r>
              <w:rPr>
                <w:rFonts w:hint="eastAsia" w:ascii="宋体" w:hAnsi="宋体" w:cs="宋体"/>
              </w:rPr>
              <w:br w:type="textWrapping"/>
            </w:r>
            <w:r>
              <w:rPr>
                <w:rFonts w:hint="eastAsia" w:ascii="宋体" w:hAnsi="宋体" w:cs="宋体"/>
              </w:rPr>
              <w:t>6、电池管理控制系统的电路图分析</w:t>
            </w:r>
            <w:r>
              <w:rPr>
                <w:rFonts w:hint="eastAsia" w:ascii="宋体" w:hAnsi="宋体" w:cs="宋体"/>
              </w:rPr>
              <w:br w:type="textWrapping"/>
            </w:r>
            <w:r>
              <w:rPr>
                <w:rFonts w:hint="eastAsia" w:ascii="宋体" w:hAnsi="宋体" w:cs="宋体"/>
              </w:rPr>
              <w:t>7、电池管理控制系统电路的检测</w:t>
            </w:r>
            <w:r>
              <w:rPr>
                <w:rFonts w:hint="eastAsia" w:ascii="宋体" w:hAnsi="宋体" w:cs="宋体"/>
              </w:rPr>
              <w:br w:type="textWrapping"/>
            </w:r>
            <w:r>
              <w:rPr>
                <w:rFonts w:hint="eastAsia" w:ascii="宋体" w:hAnsi="宋体" w:cs="宋体"/>
              </w:rPr>
              <w:t>8、电池管理控制系统故障分析</w:t>
            </w:r>
            <w:r>
              <w:rPr>
                <w:rFonts w:hint="eastAsia" w:ascii="宋体" w:hAnsi="宋体" w:cs="宋体"/>
              </w:rPr>
              <w:br w:type="textWrapping"/>
            </w:r>
            <w:r>
              <w:rPr>
                <w:rFonts w:hint="eastAsia" w:ascii="宋体" w:hAnsi="宋体" w:cs="宋体"/>
              </w:rPr>
              <w:t xml:space="preserve">9、掌握高压操作安全原理及操作方法 </w:t>
            </w:r>
            <w:r>
              <w:rPr>
                <w:rFonts w:hint="eastAsia" w:ascii="宋体" w:hAnsi="宋体" w:cs="宋体"/>
              </w:rPr>
              <w:br w:type="textWrapping"/>
            </w:r>
            <w:r>
              <w:rPr>
                <w:rFonts w:hint="eastAsia" w:ascii="宋体" w:hAnsi="宋体" w:cs="宋体"/>
              </w:rPr>
              <w:t>10、了解电池管理系统的各项功能</w:t>
            </w:r>
            <w:r>
              <w:rPr>
                <w:rFonts w:hint="eastAsia" w:ascii="宋体" w:hAnsi="宋体" w:cs="宋体"/>
              </w:rPr>
              <w:br w:type="textWrapping"/>
            </w:r>
            <w:r>
              <w:rPr>
                <w:rFonts w:hint="eastAsia" w:ascii="宋体" w:hAnsi="宋体" w:cs="宋体"/>
              </w:rPr>
              <w:t>11、预充接触器认知及参数检测</w:t>
            </w:r>
            <w:r>
              <w:rPr>
                <w:rFonts w:hint="eastAsia" w:ascii="宋体" w:hAnsi="宋体" w:cs="宋体"/>
              </w:rPr>
              <w:br w:type="textWrapping"/>
            </w:r>
            <w:r>
              <w:rPr>
                <w:rFonts w:hint="eastAsia" w:ascii="宋体" w:hAnsi="宋体" w:cs="宋体"/>
              </w:rPr>
              <w:t>12、直流正极及负极接触器认知及参数检测</w:t>
            </w:r>
            <w:r>
              <w:rPr>
                <w:rFonts w:hint="eastAsia" w:ascii="宋体" w:hAnsi="宋体" w:cs="宋体"/>
              </w:rPr>
              <w:br w:type="textWrapping"/>
            </w:r>
            <w:r>
              <w:rPr>
                <w:rFonts w:hint="eastAsia" w:ascii="宋体" w:hAnsi="宋体" w:cs="宋体"/>
              </w:rPr>
              <w:t>13、霍尔传感器认知及参数检测</w:t>
            </w:r>
            <w:r>
              <w:rPr>
                <w:rFonts w:hint="eastAsia" w:ascii="宋体" w:hAnsi="宋体" w:cs="宋体"/>
              </w:rPr>
              <w:br w:type="textWrapping"/>
            </w:r>
            <w:r>
              <w:rPr>
                <w:rFonts w:hint="eastAsia" w:ascii="宋体" w:hAnsi="宋体" w:cs="宋体"/>
              </w:rPr>
              <w:t>14、预充电阻认知及参数检测</w:t>
            </w:r>
            <w:r>
              <w:rPr>
                <w:rFonts w:hint="eastAsia" w:ascii="宋体" w:hAnsi="宋体" w:cs="宋体"/>
              </w:rPr>
              <w:br w:type="textWrapping"/>
            </w:r>
            <w:r>
              <w:rPr>
                <w:rFonts w:hint="eastAsia" w:ascii="宋体" w:hAnsi="宋体" w:cs="宋体"/>
              </w:rPr>
              <w:t>15、主供电源线正负及线的认知及拆装</w:t>
            </w:r>
            <w:r>
              <w:rPr>
                <w:rFonts w:hint="eastAsia" w:ascii="宋体" w:hAnsi="宋体" w:cs="宋体"/>
              </w:rPr>
              <w:br w:type="textWrapping"/>
            </w:r>
            <w:r>
              <w:rPr>
                <w:rFonts w:hint="eastAsia" w:ascii="宋体" w:hAnsi="宋体" w:cs="宋体"/>
              </w:rPr>
              <w:t>16、交流充电线的认知及拆装</w:t>
            </w:r>
            <w:r>
              <w:rPr>
                <w:rFonts w:hint="eastAsia" w:ascii="宋体" w:hAnsi="宋体" w:cs="宋体"/>
              </w:rPr>
              <w:br w:type="textWrapping"/>
            </w:r>
            <w:r>
              <w:rPr>
                <w:rFonts w:hint="eastAsia" w:ascii="宋体" w:hAnsi="宋体" w:cs="宋体"/>
              </w:rPr>
              <w:t>17、车载充电器的认知</w:t>
            </w:r>
            <w:r>
              <w:rPr>
                <w:rFonts w:hint="eastAsia" w:ascii="宋体" w:hAnsi="宋体" w:cs="宋体"/>
              </w:rPr>
              <w:br w:type="textWrapping"/>
            </w:r>
            <w:r>
              <w:rPr>
                <w:rFonts w:hint="eastAsia" w:ascii="宋体" w:hAnsi="宋体" w:cs="宋体"/>
              </w:rPr>
              <w:t>18、电机控制器的认知</w:t>
            </w:r>
            <w:r>
              <w:rPr>
                <w:rFonts w:hint="eastAsia" w:ascii="宋体" w:hAnsi="宋体" w:cs="宋体"/>
              </w:rPr>
              <w:br w:type="textWrapping"/>
            </w:r>
            <w:r>
              <w:rPr>
                <w:rFonts w:hint="eastAsia" w:ascii="宋体" w:hAnsi="宋体" w:cs="宋体"/>
              </w:rPr>
              <w:t>19、DC/DC转换器的认知</w:t>
            </w:r>
            <w:r>
              <w:rPr>
                <w:rFonts w:hint="eastAsia" w:ascii="宋体" w:hAnsi="宋体" w:cs="宋体"/>
              </w:rPr>
              <w:br w:type="textWrapping"/>
            </w:r>
            <w:r>
              <w:rPr>
                <w:rFonts w:hint="eastAsia" w:ascii="宋体" w:hAnsi="宋体" w:cs="宋体"/>
              </w:rPr>
              <w:t>20、故障模拟现象及故障的检测与排除</w:t>
            </w:r>
            <w:r>
              <w:rPr>
                <w:rFonts w:hint="eastAsia" w:ascii="宋体" w:hAnsi="宋体" w:cs="宋体"/>
              </w:rPr>
              <w:br w:type="textWrapping"/>
            </w:r>
            <w:r>
              <w:rPr>
                <w:rFonts w:hint="eastAsia" w:ascii="宋体" w:hAnsi="宋体" w:cs="宋体"/>
              </w:rPr>
              <w:t>21、电动汽车电机结构学习</w:t>
            </w:r>
            <w:r>
              <w:rPr>
                <w:rFonts w:hint="eastAsia" w:ascii="宋体" w:hAnsi="宋体" w:cs="宋体"/>
              </w:rPr>
              <w:br w:type="textWrapping"/>
            </w:r>
            <w:r>
              <w:rPr>
                <w:rFonts w:hint="eastAsia" w:ascii="宋体" w:hAnsi="宋体" w:cs="宋体"/>
              </w:rPr>
              <w:t>22、电动汽车电机及电机控制器高压安全操作实训</w:t>
            </w:r>
            <w:r>
              <w:rPr>
                <w:rFonts w:hint="eastAsia" w:ascii="宋体" w:hAnsi="宋体" w:cs="宋体"/>
              </w:rPr>
              <w:br w:type="textWrapping"/>
            </w:r>
            <w:r>
              <w:rPr>
                <w:rFonts w:hint="eastAsia" w:ascii="宋体" w:hAnsi="宋体" w:cs="宋体"/>
              </w:rPr>
              <w:t>23、电动汽车高压器件拆装试验；</w:t>
            </w:r>
          </w:p>
        </w:tc>
        <w:tc>
          <w:tcPr>
            <w:tcW w:w="357" w:type="pct"/>
            <w:vAlign w:val="center"/>
          </w:tcPr>
          <w:p w14:paraId="53130516">
            <w:pPr>
              <w:jc w:val="center"/>
              <w:rPr>
                <w:rFonts w:hint="eastAsia" w:ascii="宋体" w:hAnsi="宋体" w:cs="宋体"/>
                <w:szCs w:val="21"/>
              </w:rPr>
            </w:pPr>
            <w:r>
              <w:rPr>
                <w:rFonts w:hint="eastAsia" w:ascii="宋体" w:hAnsi="宋体" w:cs="宋体"/>
                <w:szCs w:val="21"/>
              </w:rPr>
              <w:t>1</w:t>
            </w:r>
          </w:p>
        </w:tc>
        <w:tc>
          <w:tcPr>
            <w:tcW w:w="341" w:type="pct"/>
            <w:vAlign w:val="center"/>
          </w:tcPr>
          <w:p w14:paraId="1BB6F735">
            <w:pPr>
              <w:jc w:val="center"/>
              <w:rPr>
                <w:rFonts w:hint="eastAsia" w:ascii="宋体" w:hAnsi="宋体" w:cs="宋体"/>
                <w:szCs w:val="21"/>
              </w:rPr>
            </w:pPr>
            <w:r>
              <w:rPr>
                <w:rFonts w:hint="eastAsia" w:ascii="宋体" w:hAnsi="宋体" w:cs="宋体"/>
                <w:szCs w:val="21"/>
              </w:rPr>
              <w:t>套</w:t>
            </w:r>
          </w:p>
        </w:tc>
      </w:tr>
      <w:tr w14:paraId="01D6FE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trHeight w:val="695" w:hRule="atLeast"/>
        </w:trPr>
        <w:tc>
          <w:tcPr>
            <w:tcW w:w="193" w:type="pct"/>
            <w:vAlign w:val="center"/>
          </w:tcPr>
          <w:p w14:paraId="2602AC91">
            <w:pPr>
              <w:jc w:val="center"/>
              <w:rPr>
                <w:rFonts w:hint="eastAsia" w:ascii="宋体" w:hAnsi="宋体" w:cs="宋体"/>
                <w:b/>
                <w:bCs/>
                <w:szCs w:val="21"/>
              </w:rPr>
            </w:pPr>
            <w:r>
              <w:rPr>
                <w:rFonts w:hint="eastAsia" w:ascii="宋体" w:hAnsi="宋体" w:cs="宋体"/>
                <w:szCs w:val="21"/>
              </w:rPr>
              <w:t>21</w:t>
            </w:r>
          </w:p>
        </w:tc>
        <w:tc>
          <w:tcPr>
            <w:tcW w:w="536" w:type="pct"/>
            <w:vAlign w:val="center"/>
          </w:tcPr>
          <w:p w14:paraId="4FA306C6">
            <w:pPr>
              <w:pStyle w:val="80"/>
              <w:jc w:val="center"/>
              <w:rPr>
                <w:rFonts w:hint="eastAsia" w:ascii="宋体" w:hAnsi="宋体" w:cs="宋体"/>
              </w:rPr>
            </w:pPr>
            <w:r>
              <w:rPr>
                <w:rFonts w:hint="eastAsia" w:ascii="宋体" w:hAnsi="宋体" w:cs="宋体"/>
              </w:rPr>
              <w:t>汽车电工电子实验箱</w:t>
            </w:r>
          </w:p>
        </w:tc>
        <w:tc>
          <w:tcPr>
            <w:tcW w:w="3571" w:type="pct"/>
            <w:vAlign w:val="center"/>
          </w:tcPr>
          <w:p w14:paraId="3C47BA70">
            <w:pPr>
              <w:pStyle w:val="80"/>
              <w:ind w:left="105" w:leftChars="50"/>
              <w:jc w:val="left"/>
              <w:rPr>
                <w:rFonts w:hint="eastAsia" w:ascii="宋体" w:hAnsi="宋体" w:cs="宋体"/>
              </w:rPr>
            </w:pPr>
            <w:r>
              <w:rPr>
                <w:rFonts w:hint="eastAsia" w:ascii="宋体" w:hAnsi="宋体" w:cs="宋体"/>
              </w:rPr>
              <w:t>一、要求</w:t>
            </w:r>
            <w:r>
              <w:rPr>
                <w:rFonts w:hint="eastAsia" w:ascii="宋体" w:hAnsi="宋体" w:cs="宋体"/>
              </w:rPr>
              <w:br w:type="textWrapping"/>
            </w:r>
            <w:r>
              <w:rPr>
                <w:rFonts w:hint="eastAsia" w:ascii="宋体" w:hAnsi="宋体" w:cs="宋体"/>
              </w:rPr>
              <w:t>培养汽车运用于维修专业学生分析汽车电路中实际问题的基本方法与能力，同时培养学生理论与实际相结合的能力。至少包含四个训练模块，即汽车大灯电路连接训练与分析功能模块、继电器控制电路训练与分析功能模块、电子电路连接训练与分析功能模块、集成电路连接训练与分析功能模块等，通过对汽车电子电工试验电路分析，可以提升以下几个方面的职业能力：</w:t>
            </w:r>
            <w:r>
              <w:rPr>
                <w:rFonts w:hint="eastAsia" w:ascii="宋体" w:hAnsi="宋体" w:cs="宋体"/>
              </w:rPr>
              <w:br w:type="textWrapping"/>
            </w:r>
            <w:r>
              <w:rPr>
                <w:rFonts w:hint="eastAsia" w:ascii="宋体" w:hAnsi="宋体" w:cs="宋体"/>
              </w:rPr>
              <w:t>1、能提升汽车电路的读识；</w:t>
            </w:r>
            <w:r>
              <w:rPr>
                <w:rFonts w:hint="eastAsia" w:ascii="宋体" w:hAnsi="宋体" w:cs="宋体"/>
              </w:rPr>
              <w:br w:type="textWrapping"/>
            </w:r>
            <w:r>
              <w:rPr>
                <w:rFonts w:hint="eastAsia" w:ascii="宋体" w:hAnsi="宋体" w:cs="宋体"/>
              </w:rPr>
              <w:t>2、能够对简单的汽车电路进行分析；</w:t>
            </w:r>
            <w:r>
              <w:rPr>
                <w:rFonts w:hint="eastAsia" w:ascii="宋体" w:hAnsi="宋体" w:cs="宋体"/>
              </w:rPr>
              <w:br w:type="textWrapping"/>
            </w:r>
            <w:r>
              <w:rPr>
                <w:rFonts w:hint="eastAsia" w:ascii="宋体" w:hAnsi="宋体" w:cs="宋体"/>
              </w:rPr>
              <w:t>3、能够常见汽车电工电子设备、仪器仪表的正确使用；</w:t>
            </w:r>
            <w:r>
              <w:rPr>
                <w:rFonts w:hint="eastAsia" w:ascii="宋体" w:hAnsi="宋体" w:cs="宋体"/>
              </w:rPr>
              <w:br w:type="textWrapping"/>
            </w:r>
            <w:r>
              <w:rPr>
                <w:rFonts w:hint="eastAsia" w:ascii="宋体" w:hAnsi="宋体" w:cs="宋体"/>
              </w:rPr>
              <w:t>4、能够进行简单的电子电路故障的排除；</w:t>
            </w:r>
            <w:r>
              <w:rPr>
                <w:rFonts w:hint="eastAsia" w:ascii="宋体" w:hAnsi="宋体" w:cs="宋体"/>
              </w:rPr>
              <w:br w:type="textWrapping"/>
            </w:r>
            <w:r>
              <w:rPr>
                <w:rFonts w:hint="eastAsia" w:ascii="宋体" w:hAnsi="宋体" w:cs="宋体"/>
              </w:rPr>
              <w:t>二、功能模块</w:t>
            </w:r>
            <w:r>
              <w:rPr>
                <w:rFonts w:hint="eastAsia" w:ascii="宋体" w:hAnsi="宋体" w:cs="宋体"/>
              </w:rPr>
              <w:br w:type="textWrapping"/>
            </w:r>
            <w:r>
              <w:rPr>
                <w:rFonts w:hint="eastAsia" w:ascii="宋体" w:hAnsi="宋体" w:cs="宋体"/>
              </w:rPr>
              <w:t>1、汽车灯光照明系统接线实训设备与分析功能模块</w:t>
            </w:r>
            <w:r>
              <w:rPr>
                <w:rFonts w:hint="eastAsia" w:ascii="宋体" w:hAnsi="宋体" w:cs="宋体"/>
              </w:rPr>
              <w:br w:type="textWrapping"/>
            </w:r>
            <w:r>
              <w:rPr>
                <w:rFonts w:hint="eastAsia" w:ascii="宋体" w:hAnsi="宋体" w:cs="宋体"/>
              </w:rPr>
              <w:t>汽车灯光电路连接训练与分析模块所示，在该功能模块上设置有电源、保险丝、开关、灯泡等多种元器件及电气符号，在该功能模块上可以完成以下几项训练任务：</w:t>
            </w:r>
            <w:r>
              <w:rPr>
                <w:rFonts w:hint="eastAsia" w:ascii="宋体" w:hAnsi="宋体" w:cs="宋体"/>
              </w:rPr>
              <w:br w:type="textWrapping"/>
            </w:r>
            <w:r>
              <w:rPr>
                <w:rFonts w:hint="eastAsia" w:ascii="宋体" w:hAnsi="宋体" w:cs="宋体"/>
              </w:rPr>
              <w:t>1）电气符号认识训练：在功能模块板上安装了多种电气元件以及电气元件符号图，既认识了电气元件，又可认识电气元件的符号，便于后续汽车电路的读识；</w:t>
            </w:r>
            <w:r>
              <w:rPr>
                <w:rFonts w:hint="eastAsia" w:ascii="宋体" w:hAnsi="宋体" w:cs="宋体"/>
              </w:rPr>
              <w:br w:type="textWrapping"/>
            </w:r>
            <w:r>
              <w:rPr>
                <w:rFonts w:hint="eastAsia" w:ascii="宋体" w:hAnsi="宋体" w:cs="宋体"/>
              </w:rPr>
              <w:t>2）线路连接训练：教师给出多副基本电路图，学生根据电路图在功能模块板上进行接线训练，并且可以打开或关闭功能模块板上的开关，判别接线是否正确，通过该项目的训练，可以达到熟悉串联电路、并联电路、混联电路的目的；</w:t>
            </w:r>
            <w:r>
              <w:rPr>
                <w:rFonts w:hint="eastAsia" w:ascii="宋体" w:hAnsi="宋体" w:cs="宋体"/>
              </w:rPr>
              <w:br w:type="textWrapping"/>
            </w:r>
            <w:r>
              <w:rPr>
                <w:rFonts w:hint="eastAsia" w:ascii="宋体" w:hAnsi="宋体" w:cs="宋体"/>
              </w:rPr>
              <w:t>3）电路测量训练：可以用万用表测量已连接好的线路上各测量点上的电位以及各段电路上的电流大小，并且根据测量数据进行简单计算分析，通过该项目训练，可以起到常见汽车电工电子设备、仪器仪表的正确使用的目的；</w:t>
            </w:r>
            <w:r>
              <w:rPr>
                <w:rFonts w:hint="eastAsia" w:ascii="宋体" w:hAnsi="宋体" w:cs="宋体"/>
              </w:rPr>
              <w:br w:type="textWrapping"/>
            </w:r>
            <w:r>
              <w:rPr>
                <w:rFonts w:hint="eastAsia" w:ascii="宋体" w:hAnsi="宋体" w:cs="宋体"/>
              </w:rPr>
              <w:t>4）故障诊断与分析训练：在功能模块上可以设置一定数量的故障，遵循“故障现象→主要原因→具体原因”的分析原则，进行故障原因分析，达到提升电路分析能力；</w:t>
            </w:r>
            <w:r>
              <w:rPr>
                <w:rFonts w:hint="eastAsia" w:ascii="宋体" w:hAnsi="宋体" w:cs="宋体"/>
              </w:rPr>
              <w:br w:type="textWrapping"/>
            </w:r>
            <w:r>
              <w:rPr>
                <w:rFonts w:hint="eastAsia" w:ascii="宋体" w:hAnsi="宋体" w:cs="宋体"/>
              </w:rPr>
              <w:t>5）电路绘制训练：在功能模块上事先用导线连接实物线路，然后让学生根据实物线路进行绘制电路图，提升绘图能力。</w:t>
            </w:r>
            <w:r>
              <w:rPr>
                <w:rFonts w:hint="eastAsia" w:ascii="宋体" w:hAnsi="宋体" w:cs="宋体"/>
              </w:rPr>
              <w:br w:type="textWrapping"/>
            </w:r>
            <w:r>
              <w:rPr>
                <w:rFonts w:hint="eastAsia" w:ascii="宋体" w:hAnsi="宋体" w:cs="宋体"/>
              </w:rPr>
              <w:t>2、汽车继电器控制电路训练与分析功能模块</w:t>
            </w:r>
            <w:r>
              <w:rPr>
                <w:rFonts w:hint="eastAsia" w:ascii="宋体" w:hAnsi="宋体" w:cs="宋体"/>
              </w:rPr>
              <w:br w:type="textWrapping"/>
            </w:r>
            <w:r>
              <w:rPr>
                <w:rFonts w:hint="eastAsia" w:ascii="宋体" w:hAnsi="宋体" w:cs="宋体"/>
              </w:rPr>
              <w:t>继电器控制电路训练与分析功能模块，在该功能模块上设置有电源、保险丝、开关、继电器、大灯、电机等多种元器件及电气符号，在该功能模块上可以完成以下几项训练任务：</w:t>
            </w:r>
            <w:r>
              <w:rPr>
                <w:rFonts w:hint="eastAsia" w:ascii="宋体" w:hAnsi="宋体" w:cs="宋体"/>
              </w:rPr>
              <w:br w:type="textWrapping"/>
            </w:r>
            <w:r>
              <w:rPr>
                <w:rFonts w:hint="eastAsia" w:ascii="宋体" w:hAnsi="宋体" w:cs="宋体"/>
              </w:rPr>
              <w:t>1）电气符号认识训练：在功能模块板上安装了多种电气元件以及电气元件符号图，既认识了电气元件，又可认识电气元件的符号，便于后续汽车电路的读识；</w:t>
            </w:r>
            <w:r>
              <w:rPr>
                <w:rFonts w:hint="eastAsia" w:ascii="宋体" w:hAnsi="宋体" w:cs="宋体"/>
              </w:rPr>
              <w:br w:type="textWrapping"/>
            </w:r>
            <w:r>
              <w:rPr>
                <w:rFonts w:hint="eastAsia" w:ascii="宋体" w:hAnsi="宋体" w:cs="宋体"/>
              </w:rPr>
              <w:t>2）线路连接训练：教师给出多副基本电路图，学生根据电路图在功能模块板上进行接线训练，并且可以打开或关闭功能模块板上的开关，判别接线是否正确，通过该项目的训练，可以达到利用继电器控制灯泡亮与灭以及直流电机的正转与反转等训练目的；</w:t>
            </w:r>
            <w:r>
              <w:rPr>
                <w:rFonts w:hint="eastAsia" w:ascii="宋体" w:hAnsi="宋体" w:cs="宋体"/>
              </w:rPr>
              <w:br w:type="textWrapping"/>
            </w:r>
            <w:r>
              <w:rPr>
                <w:rFonts w:hint="eastAsia" w:ascii="宋体" w:hAnsi="宋体" w:cs="宋体"/>
              </w:rPr>
              <w:t>3）电路测量训练：可以用万用表测量已连接好的线路上各测量点上的电位以及各段电路上的电流大小，并且根据测量数据进行简单计算分析，通过该项目训练，可以起到常见汽车电工电子设备、仪器仪表的正确使用的目的；</w:t>
            </w:r>
            <w:r>
              <w:rPr>
                <w:rFonts w:hint="eastAsia" w:ascii="宋体" w:hAnsi="宋体" w:cs="宋体"/>
              </w:rPr>
              <w:br w:type="textWrapping"/>
            </w:r>
            <w:r>
              <w:rPr>
                <w:rFonts w:hint="eastAsia" w:ascii="宋体" w:hAnsi="宋体" w:cs="宋体"/>
              </w:rPr>
              <w:t>4）故障诊断与分析训练：通过在功能模块上设置一定数量的故障，遵循“故障现象→主要原因→具体原因”的分析原则，进行故障原因分析，达到提升带有继电器控制的电路分析能力；</w:t>
            </w:r>
            <w:r>
              <w:rPr>
                <w:rFonts w:hint="eastAsia" w:ascii="宋体" w:hAnsi="宋体" w:cs="宋体"/>
              </w:rPr>
              <w:br w:type="textWrapping"/>
            </w:r>
            <w:r>
              <w:rPr>
                <w:rFonts w:hint="eastAsia" w:ascii="宋体" w:hAnsi="宋体" w:cs="宋体"/>
              </w:rPr>
              <w:t>5）电路绘制训练：在功能模块上事先用导线连接实物线路，然后让学生根据实物线路进行绘制电路图，提升绘图能力以及电气元件符号的认识能力。</w:t>
            </w:r>
            <w:r>
              <w:rPr>
                <w:rFonts w:hint="eastAsia" w:ascii="宋体" w:hAnsi="宋体" w:cs="宋体"/>
              </w:rPr>
              <w:br w:type="textWrapping"/>
            </w:r>
            <w:r>
              <w:rPr>
                <w:rFonts w:hint="eastAsia" w:ascii="宋体" w:hAnsi="宋体" w:cs="宋体"/>
              </w:rPr>
              <w:t>3、汽车电子电路连接训练与分析功能模块</w:t>
            </w:r>
            <w:r>
              <w:rPr>
                <w:rFonts w:hint="eastAsia" w:ascii="宋体" w:hAnsi="宋体" w:cs="宋体"/>
              </w:rPr>
              <w:br w:type="textWrapping"/>
            </w:r>
            <w:r>
              <w:rPr>
                <w:rFonts w:hint="eastAsia" w:ascii="宋体" w:hAnsi="宋体" w:cs="宋体"/>
              </w:rPr>
              <w:t>电子电路连接训练与分析功能模块，在该功能模块上设置有电源、保险丝、开关、大灯、电阻、继电器、二极管、三极管、可变电阻器等多种元器件及电气符号，在该功能模块上可以完成以下几项训练任务：</w:t>
            </w:r>
            <w:r>
              <w:rPr>
                <w:rFonts w:hint="eastAsia" w:ascii="宋体" w:hAnsi="宋体" w:cs="宋体"/>
              </w:rPr>
              <w:br w:type="textWrapping"/>
            </w:r>
            <w:r>
              <w:rPr>
                <w:rFonts w:hint="eastAsia" w:ascii="宋体" w:hAnsi="宋体" w:cs="宋体"/>
              </w:rPr>
              <w:t>1）电气符号认识训练：在功能模块板上安装了多种电气、晶体管元件以及电气、晶体管元件符号图，既认识了电气以及晶体管元件，又可认识电气及晶体管元件的符号，便于后续汽车电路的读识；</w:t>
            </w:r>
            <w:r>
              <w:rPr>
                <w:rFonts w:hint="eastAsia" w:ascii="宋体" w:hAnsi="宋体" w:cs="宋体"/>
              </w:rPr>
              <w:br w:type="textWrapping"/>
            </w:r>
            <w:r>
              <w:rPr>
                <w:rFonts w:hint="eastAsia" w:ascii="宋体" w:hAnsi="宋体" w:cs="宋体"/>
              </w:rPr>
              <w:t>2）线路连接训练：教师给出多副基本线路连接训练电路图，学生根据电路图在功能模块板上进行接线训练，并且可以打开或关闭功能模块板上的开关，判别接线是否正确，利用可调电阻器的阻止变化，验证电路是否可行，通过该项目的训练，可以达到训练带有晶体管电路分析能力的目的；</w:t>
            </w:r>
            <w:r>
              <w:rPr>
                <w:rFonts w:hint="eastAsia" w:ascii="宋体" w:hAnsi="宋体" w:cs="宋体"/>
              </w:rPr>
              <w:br w:type="textWrapping"/>
            </w:r>
            <w:r>
              <w:rPr>
                <w:rFonts w:hint="eastAsia" w:ascii="宋体" w:hAnsi="宋体" w:cs="宋体"/>
              </w:rPr>
              <w:t>3）电路测量训练：可以用万用表测量已连接好的线路上各测量点上的电位以及各段电路上的电流大小，并且根据测量数据进行简单计算分析，利用万用表的电阻档或蜂鸣档检测二极管的单向导电性以及极性的判别，通过检测电流的大小来判别三极管的电路放大特性，另外，通过该项目训练，可以起到常见汽车电工电子设备、仪器仪表的正确使用的目的；</w:t>
            </w:r>
            <w:r>
              <w:rPr>
                <w:rFonts w:hint="eastAsia" w:ascii="宋体" w:hAnsi="宋体" w:cs="宋体"/>
              </w:rPr>
              <w:br w:type="textWrapping"/>
            </w:r>
            <w:r>
              <w:rPr>
                <w:rFonts w:hint="eastAsia" w:ascii="宋体" w:hAnsi="宋体" w:cs="宋体"/>
              </w:rPr>
              <w:t>4）故障诊断与分析训练：通过在功能模块上设置一定数量的故障，遵循“故障现象→主要原因→具体原因”的分析原则，进行故障原因分析，达到提升带有晶体管的电路分析能力；</w:t>
            </w:r>
            <w:r>
              <w:rPr>
                <w:rFonts w:hint="eastAsia" w:ascii="宋体" w:hAnsi="宋体" w:cs="宋体"/>
              </w:rPr>
              <w:br w:type="textWrapping"/>
            </w:r>
            <w:r>
              <w:rPr>
                <w:rFonts w:hint="eastAsia" w:ascii="宋体" w:hAnsi="宋体" w:cs="宋体"/>
              </w:rPr>
              <w:t>5）电路绘制训练：在功能模块上事先用导线连接实物线路，然后让学生根据实物线路进行绘制电路图，提升绘图能力以及电气元件符号的认识能力。</w:t>
            </w:r>
            <w:r>
              <w:rPr>
                <w:rFonts w:hint="eastAsia" w:ascii="宋体" w:hAnsi="宋体" w:cs="宋体"/>
              </w:rPr>
              <w:br w:type="textWrapping"/>
            </w:r>
            <w:r>
              <w:rPr>
                <w:rFonts w:hint="eastAsia" w:ascii="宋体" w:hAnsi="宋体" w:cs="宋体"/>
              </w:rPr>
              <w:t>4、汽车集成电路连接训练与分析功能模块</w:t>
            </w:r>
            <w:r>
              <w:rPr>
                <w:rFonts w:hint="eastAsia" w:ascii="宋体" w:hAnsi="宋体" w:cs="宋体"/>
              </w:rPr>
              <w:br w:type="textWrapping"/>
            </w:r>
            <w:r>
              <w:rPr>
                <w:rFonts w:hint="eastAsia" w:ascii="宋体" w:hAnsi="宋体" w:cs="宋体"/>
              </w:rPr>
              <w:t>集成电路连接训练与分析功能模块</w:t>
            </w:r>
            <w:r>
              <w:rPr>
                <w:rFonts w:hint="eastAsia" w:ascii="宋体" w:hAnsi="宋体" w:cs="宋体"/>
              </w:rPr>
              <w:br w:type="textWrapping"/>
            </w:r>
            <w:r>
              <w:rPr>
                <w:rFonts w:hint="eastAsia" w:ascii="宋体" w:hAnsi="宋体" w:cs="宋体"/>
              </w:rPr>
              <w:t>在该功能模块上设置有电源、保险丝、开关、大灯、电阻、二极管、三极管、一定数量的集成控制模块等多种电子电气元件及电气符号，在该功能模块上可以完成以下几项训练任务：</w:t>
            </w:r>
            <w:r>
              <w:rPr>
                <w:rFonts w:hint="eastAsia" w:ascii="宋体" w:hAnsi="宋体" w:cs="宋体"/>
              </w:rPr>
              <w:br w:type="textWrapping"/>
            </w:r>
            <w:r>
              <w:rPr>
                <w:rFonts w:hint="eastAsia" w:ascii="宋体" w:hAnsi="宋体" w:cs="宋体"/>
              </w:rPr>
              <w:t>1）电气符号认识训练：在功能模块板上安装了多种电气、晶体管元件、集成电路模块以及电气、晶体管元件、集成电路模块符号图，既认识了电气、晶体管元件以及集成电路模块，又可认识电气、晶体管元件及集成电路模块的符号，便于后续汽车电路的读识；</w:t>
            </w:r>
            <w:r>
              <w:rPr>
                <w:rFonts w:hint="eastAsia" w:ascii="宋体" w:hAnsi="宋体" w:cs="宋体"/>
              </w:rPr>
              <w:br w:type="textWrapping"/>
            </w:r>
            <w:r>
              <w:rPr>
                <w:rFonts w:hint="eastAsia" w:ascii="宋体" w:hAnsi="宋体" w:cs="宋体"/>
              </w:rPr>
              <w:t>2）线路连接训练：教师给出多副基本线路连接训练电路图，学生根据电路图在功能模块板上进行接线训练，并且可以打开或关闭功能模块板上的开关，判别接线是否正确，通过该项目的训练，可以达到训练带有集成电路模块的控制电路分析能力的目的；</w:t>
            </w:r>
            <w:r>
              <w:rPr>
                <w:rFonts w:hint="eastAsia" w:ascii="宋体" w:hAnsi="宋体" w:cs="宋体"/>
              </w:rPr>
              <w:br w:type="textWrapping"/>
            </w:r>
            <w:r>
              <w:rPr>
                <w:rFonts w:hint="eastAsia" w:ascii="宋体" w:hAnsi="宋体" w:cs="宋体"/>
              </w:rPr>
              <w:t>3）电路测量训练：可以用万用表测量已连接好的线路上各测量点上的电位以及各段电路上的电流大小，并且根据测量数据进行简单计算分析，利用万用表的检测和判别集成模块的输入输出功能以及运放功能，领用示波器检测集成模块的波形，另外，通过该项目训练，可以起到常见汽车电工电子设备、仪器仪表的正确使用的目的；</w:t>
            </w:r>
            <w:r>
              <w:rPr>
                <w:rFonts w:hint="eastAsia" w:ascii="宋体" w:hAnsi="宋体" w:cs="宋体"/>
              </w:rPr>
              <w:br w:type="textWrapping"/>
            </w:r>
            <w:r>
              <w:rPr>
                <w:rFonts w:hint="eastAsia" w:ascii="宋体" w:hAnsi="宋体" w:cs="宋体"/>
              </w:rPr>
              <w:t>4）故障诊断与分析训练：通过在功能模块上设置一定数量的故障，遵循“故障现象→主要原因→具体原因”的分析原则，进行故障原因分析，达到提升带有集成控制的电路分析能力；</w:t>
            </w:r>
            <w:r>
              <w:rPr>
                <w:rFonts w:hint="eastAsia" w:ascii="宋体" w:hAnsi="宋体" w:cs="宋体"/>
              </w:rPr>
              <w:br w:type="textWrapping"/>
            </w:r>
            <w:r>
              <w:rPr>
                <w:rFonts w:hint="eastAsia" w:ascii="宋体" w:hAnsi="宋体" w:cs="宋体"/>
              </w:rPr>
              <w:t>5）电路绘制训练：在功能模块上事先用导线连接实物线路，然后让学生根据实物线路进行绘制电路图，提升绘图能力以及电气元件和集成电子元件符号的认识能力。</w:t>
            </w:r>
            <w:r>
              <w:rPr>
                <w:rFonts w:hint="eastAsia" w:ascii="宋体" w:hAnsi="宋体" w:cs="宋体"/>
              </w:rPr>
              <w:br w:type="textWrapping"/>
            </w:r>
            <w:r>
              <w:rPr>
                <w:rFonts w:hint="eastAsia" w:ascii="宋体" w:hAnsi="宋体" w:cs="宋体"/>
              </w:rPr>
              <w:t>5、配备智能化故障设置和系统</w:t>
            </w:r>
            <w:r>
              <w:rPr>
                <w:rFonts w:hint="eastAsia" w:ascii="宋体" w:hAnsi="宋体" w:cs="宋体"/>
              </w:rPr>
              <w:br w:type="textWrapping"/>
            </w:r>
            <w:r>
              <w:rPr>
                <w:rFonts w:hint="eastAsia" w:ascii="宋体" w:hAnsi="宋体" w:cs="宋体"/>
              </w:rPr>
              <w:t>智能化故障设置为汽车类培训装备而开发的一款训练用的产品，包括智能化故障设置系统和学习实训系统两大系统，主要有以下功能：</w:t>
            </w:r>
            <w:r>
              <w:rPr>
                <w:rFonts w:hint="eastAsia" w:ascii="宋体" w:hAnsi="宋体" w:cs="宋体"/>
              </w:rPr>
              <w:br w:type="textWrapping"/>
            </w:r>
            <w:r>
              <w:rPr>
                <w:rFonts w:hint="eastAsia" w:ascii="宋体" w:hAnsi="宋体" w:cs="宋体"/>
              </w:rPr>
              <w:t>智能故障设置系统主要分练习、考核、管理三大模块</w:t>
            </w:r>
            <w:r>
              <w:rPr>
                <w:rFonts w:hint="eastAsia" w:ascii="宋体" w:hAnsi="宋体" w:cs="宋体"/>
              </w:rPr>
              <w:br w:type="textWrapping"/>
            </w:r>
            <w:r>
              <w:rPr>
                <w:rFonts w:hint="eastAsia" w:ascii="宋体" w:hAnsi="宋体" w:cs="宋体"/>
              </w:rPr>
              <w:t>5.1、练习模式功能分自由练习和练习</w:t>
            </w:r>
            <w:r>
              <w:rPr>
                <w:rFonts w:hint="eastAsia" w:ascii="宋体" w:hAnsi="宋体" w:cs="宋体"/>
              </w:rPr>
              <w:br w:type="textWrapping"/>
            </w:r>
            <w:r>
              <w:rPr>
                <w:rFonts w:hint="eastAsia" w:ascii="宋体" w:hAnsi="宋体" w:cs="宋体"/>
              </w:rPr>
              <w:t>5.1.1、自由练习功能：训练者通过自己设置故障，故障设置中如出现故障K1、K2、E1等故障代码，可以自由选择设置，并且可以选择元件。自己进行故障排除，故障排出后可以立刻输出训练成绩；</w:t>
            </w:r>
            <w:r>
              <w:rPr>
                <w:rFonts w:hint="eastAsia" w:ascii="宋体" w:hAnsi="宋体" w:cs="宋体"/>
              </w:rPr>
              <w:br w:type="textWrapping"/>
            </w:r>
            <w:r>
              <w:rPr>
                <w:rFonts w:hint="eastAsia" w:ascii="宋体" w:hAnsi="宋体" w:cs="宋体"/>
              </w:rPr>
              <w:t>5.1.2、自由功能：甲学生设置故障不低于5个基础故障，故障设置中出现故障K1、K2、E1等故障代码，可以自由选择设置。乙学生进行故障排除查找故障，找出故障以后交卷，故障排出后可以立刻输出训练成绩，增强训练效果；会显示故障点数、错误次数、分数、正确故障、错误故障、正确排除个数、考试用时。</w:t>
            </w:r>
            <w:r>
              <w:rPr>
                <w:rFonts w:hint="eastAsia" w:ascii="宋体" w:hAnsi="宋体" w:cs="宋体"/>
              </w:rPr>
              <w:br w:type="textWrapping"/>
            </w:r>
            <w:r>
              <w:rPr>
                <w:rFonts w:hint="eastAsia" w:ascii="宋体" w:hAnsi="宋体" w:cs="宋体"/>
              </w:rPr>
              <w:t>5.2、模式功能</w:t>
            </w:r>
            <w:r>
              <w:rPr>
                <w:rFonts w:hint="eastAsia" w:ascii="宋体" w:hAnsi="宋体" w:cs="宋体"/>
              </w:rPr>
              <w:br w:type="textWrapping"/>
            </w:r>
            <w:r>
              <w:rPr>
                <w:rFonts w:hint="eastAsia" w:ascii="宋体" w:hAnsi="宋体" w:cs="宋体"/>
              </w:rPr>
              <w:t>5.2.1、功能：教师设置故障，学生输入学号以后进行，最终测试学生训练效果；</w:t>
            </w:r>
            <w:r>
              <w:rPr>
                <w:rFonts w:hint="eastAsia" w:ascii="宋体" w:hAnsi="宋体" w:cs="宋体"/>
              </w:rPr>
              <w:br w:type="textWrapping"/>
            </w:r>
            <w:r>
              <w:rPr>
                <w:rFonts w:hint="eastAsia" w:ascii="宋体" w:hAnsi="宋体" w:cs="宋体"/>
              </w:rPr>
              <w:t>5.2.2、故障查询：查询学生成绩；</w:t>
            </w:r>
            <w:r>
              <w:rPr>
                <w:rFonts w:hint="eastAsia" w:ascii="宋体" w:hAnsi="宋体" w:cs="宋体"/>
              </w:rPr>
              <w:br w:type="textWrapping"/>
            </w:r>
            <w:r>
              <w:rPr>
                <w:rFonts w:hint="eastAsia" w:ascii="宋体" w:hAnsi="宋体" w:cs="宋体"/>
              </w:rPr>
              <w:t>5.2.3、老师可以将题库内题目，通过手机或平板无线随机发送给学生，也可以指 定题目针对某一学生发送</w:t>
            </w:r>
            <w:r>
              <w:rPr>
                <w:rFonts w:hint="eastAsia" w:ascii="宋体" w:hAnsi="宋体" w:cs="宋体"/>
              </w:rPr>
              <w:br w:type="textWrapping"/>
            </w:r>
            <w:r>
              <w:rPr>
                <w:rFonts w:hint="eastAsia" w:ascii="宋体" w:hAnsi="宋体" w:cs="宋体"/>
              </w:rPr>
              <w:t>5.2.4、学生在考试结束后，可随时提交试卷，老师通过手机或平板接收试卷，并获得成绩；</w:t>
            </w:r>
            <w:r>
              <w:rPr>
                <w:rFonts w:hint="eastAsia" w:ascii="宋体" w:hAnsi="宋体" w:cs="宋体"/>
              </w:rPr>
              <w:br w:type="textWrapping"/>
            </w:r>
            <w:r>
              <w:rPr>
                <w:rFonts w:hint="eastAsia" w:ascii="宋体" w:hAnsi="宋体" w:cs="宋体"/>
              </w:rPr>
              <w:t>5.3、管理系统，系统有密码保护，主要分清除故障、设置故障、故障测试、试卷管理、设备管理、触屏校准、故障对照表、正式、升级。</w:t>
            </w:r>
            <w:r>
              <w:rPr>
                <w:rFonts w:hint="eastAsia" w:ascii="宋体" w:hAnsi="宋体" w:cs="宋体"/>
              </w:rPr>
              <w:br w:type="textWrapping"/>
            </w:r>
            <w:r>
              <w:rPr>
                <w:rFonts w:hint="eastAsia" w:ascii="宋体" w:hAnsi="宋体" w:cs="宋体"/>
              </w:rPr>
              <w:t>5.4、清除故障：主要清楚实验设备设置的故障清除。</w:t>
            </w:r>
            <w:r>
              <w:rPr>
                <w:rFonts w:hint="eastAsia" w:ascii="宋体" w:hAnsi="宋体" w:cs="宋体"/>
              </w:rPr>
              <w:br w:type="textWrapping"/>
            </w:r>
            <w:r>
              <w:rPr>
                <w:rFonts w:hint="eastAsia" w:ascii="宋体" w:hAnsi="宋体" w:cs="宋体"/>
              </w:rPr>
              <w:t>5.5、设置故障：可以显示全部故障代码，进行故障设置。</w:t>
            </w:r>
            <w:r>
              <w:rPr>
                <w:rFonts w:hint="eastAsia" w:ascii="宋体" w:hAnsi="宋体" w:cs="宋体"/>
              </w:rPr>
              <w:br w:type="textWrapping"/>
            </w:r>
            <w:r>
              <w:rPr>
                <w:rFonts w:hint="eastAsia" w:ascii="宋体" w:hAnsi="宋体" w:cs="宋体"/>
              </w:rPr>
              <w:t>5.6、故障测试：可以针对全部故障代码进行故障测试，测试是否有损坏。</w:t>
            </w:r>
            <w:r>
              <w:rPr>
                <w:rFonts w:hint="eastAsia" w:ascii="宋体" w:hAnsi="宋体" w:cs="宋体"/>
              </w:rPr>
              <w:br w:type="textWrapping"/>
            </w:r>
            <w:r>
              <w:rPr>
                <w:rFonts w:hint="eastAsia" w:ascii="宋体" w:hAnsi="宋体" w:cs="宋体"/>
              </w:rPr>
              <w:t>5.7、试卷管理：主要分规则和考生试卷。规则功能主要有</w:t>
            </w:r>
            <w:r>
              <w:rPr>
                <w:rFonts w:hint="eastAsia" w:ascii="宋体" w:hAnsi="宋体" w:cs="宋体"/>
              </w:rPr>
              <w:br w:type="textWrapping"/>
            </w:r>
            <w:r>
              <w:rPr>
                <w:rFonts w:hint="eastAsia" w:ascii="宋体" w:hAnsi="宋体" w:cs="宋体"/>
              </w:rPr>
              <w:t>（1）自动设故和手动设故选择；（2）自动评分和手动评分的选择；（3）故障点数的设置；（4）时间的设置，可设置积分几秒；（5）每错一次扣除分数的数值；（6）扣分时限的分值；（7）每分钟扣除分数的分值。</w:t>
            </w:r>
            <w:r>
              <w:rPr>
                <w:rFonts w:hint="eastAsia" w:ascii="宋体" w:hAnsi="宋体" w:cs="宋体"/>
              </w:rPr>
              <w:br w:type="textWrapping"/>
            </w:r>
            <w:r>
              <w:rPr>
                <w:rFonts w:hint="eastAsia" w:ascii="宋体" w:hAnsi="宋体" w:cs="宋体"/>
              </w:rPr>
              <w:t>5.8、触摸校准:针对触摸显示屏的五点校准</w:t>
            </w:r>
            <w:r>
              <w:rPr>
                <w:rFonts w:hint="eastAsia" w:ascii="宋体" w:hAnsi="宋体" w:cs="宋体"/>
              </w:rPr>
              <w:br w:type="textWrapping"/>
            </w:r>
            <w:r>
              <w:rPr>
                <w:rFonts w:hint="eastAsia" w:ascii="宋体" w:hAnsi="宋体" w:cs="宋体"/>
              </w:rPr>
              <w:t>5.9、故障对照表：显示全部的故障进行对照：那个是1号故障那个2号故障等。</w:t>
            </w:r>
            <w:r>
              <w:rPr>
                <w:rFonts w:hint="eastAsia" w:ascii="宋体" w:hAnsi="宋体" w:cs="宋体"/>
              </w:rPr>
              <w:br w:type="textWrapping"/>
            </w:r>
            <w:r>
              <w:rPr>
                <w:rFonts w:hint="eastAsia" w:ascii="宋体" w:hAnsi="宋体" w:cs="宋体"/>
              </w:rPr>
              <w:t>5.10、正式：进入后显示全部故障代码，选择后可进行元件选择，选择后可以设置考试时间，进入后可以选择开始，倒计时开始倒计时间。</w:t>
            </w:r>
            <w:r>
              <w:rPr>
                <w:rFonts w:hint="eastAsia" w:ascii="宋体" w:hAnsi="宋体" w:cs="宋体"/>
              </w:rPr>
              <w:br w:type="textWrapping"/>
            </w:r>
            <w:r>
              <w:rPr>
                <w:rFonts w:hint="eastAsia" w:ascii="宋体" w:hAnsi="宋体" w:cs="宋体"/>
              </w:rPr>
              <w:t>5.11、升级：升级主要针对教学平台升级和元件库的升级。</w:t>
            </w:r>
            <w:r>
              <w:rPr>
                <w:rFonts w:hint="eastAsia" w:ascii="宋体" w:hAnsi="宋体" w:cs="宋体"/>
              </w:rPr>
              <w:br w:type="textWrapping"/>
            </w:r>
            <w:r>
              <w:rPr>
                <w:rFonts w:hint="eastAsia" w:ascii="宋体" w:hAnsi="宋体" w:cs="宋体"/>
              </w:rPr>
              <w:t xml:space="preserve">4、主要由电源总开关、电源指示、总电源保险丝、内置一个开关直流稳压电源组成，为实训装置提供电源，有输出电压指示和过流过载保护功能。  </w:t>
            </w:r>
            <w:r>
              <w:rPr>
                <w:rFonts w:hint="eastAsia" w:ascii="宋体" w:hAnsi="宋体" w:cs="宋体"/>
              </w:rPr>
              <w:br w:type="textWrapping"/>
            </w:r>
            <w:r>
              <w:rPr>
                <w:rFonts w:hint="eastAsia" w:ascii="宋体" w:hAnsi="宋体" w:cs="宋体"/>
              </w:rPr>
              <w:t>5、使学生的专业知识和操作技能（理论与实践）紧密结合，从而提高学生的综合分析判断能力和调试维修技术水平。</w:t>
            </w:r>
            <w:r>
              <w:rPr>
                <w:rFonts w:hint="eastAsia" w:ascii="宋体" w:hAnsi="宋体" w:cs="宋体"/>
              </w:rPr>
              <w:br w:type="textWrapping"/>
            </w:r>
            <w:r>
              <w:rPr>
                <w:rFonts w:hint="eastAsia" w:ascii="宋体" w:hAnsi="宋体" w:cs="宋体"/>
              </w:rPr>
              <w:t>6、系统采用STM32、实时时钟。系统配有大屏幕彩色高清智能触摸屏、R232通信接口、以太网通信接口、可插拔的无线通信模块，可以实现与台架无线组网连接，根据实训台故障现象进行故障检测和故障确认，并能进行老师和学生进行互动教学及实训教学工作过程，数据库记录档案以备下次查找相同案例，不同管理模式进行情况、自动完成评分等功能。</w:t>
            </w:r>
            <w:r>
              <w:rPr>
                <w:rFonts w:hint="eastAsia" w:ascii="宋体" w:hAnsi="宋体" w:cs="宋体"/>
              </w:rPr>
              <w:br w:type="textWrapping"/>
            </w:r>
            <w:r>
              <w:rPr>
                <w:rFonts w:hint="eastAsia" w:ascii="宋体" w:hAnsi="宋体" w:cs="宋体"/>
              </w:rPr>
              <w:t>7、实训室全部实训设备可以通过无线联系形成一个网络，进行无线，教师可以通过平板平台的汽车智能一体化教学资源APP平台进行指 定随机给实训室内任意一台设备进行联网设置发题，也可以进行收题，进行，全自动得出学生分数，也可以给整个实训室每台随机发题，收题，评分。</w:t>
            </w:r>
            <w:r>
              <w:rPr>
                <w:rFonts w:hint="eastAsia" w:ascii="宋体" w:hAnsi="宋体" w:cs="宋体"/>
              </w:rPr>
              <w:br w:type="textWrapping"/>
            </w:r>
            <w:r>
              <w:rPr>
                <w:rFonts w:hint="eastAsia" w:ascii="宋体" w:hAnsi="宋体" w:cs="宋体"/>
              </w:rPr>
              <w:t>8、电源：采用双电源制度，输入220V，输出电压分别为DC12V和DC12V两种：</w:t>
            </w:r>
            <w:r>
              <w:rPr>
                <w:rFonts w:hint="eastAsia" w:ascii="宋体" w:hAnsi="宋体" w:cs="宋体"/>
              </w:rPr>
              <w:br w:type="textWrapping"/>
            </w:r>
            <w:r>
              <w:rPr>
                <w:rFonts w:hint="eastAsia" w:ascii="宋体" w:hAnsi="宋体" w:cs="宋体"/>
              </w:rPr>
              <w:t>1）DC12V3A：主要用于控制系统以及触摸屏等；</w:t>
            </w:r>
            <w:r>
              <w:rPr>
                <w:rFonts w:hint="eastAsia" w:ascii="宋体" w:hAnsi="宋体" w:cs="宋体"/>
              </w:rPr>
              <w:br w:type="textWrapping"/>
            </w:r>
            <w:r>
              <w:rPr>
                <w:rFonts w:hint="eastAsia" w:ascii="宋体" w:hAnsi="宋体" w:cs="宋体"/>
              </w:rPr>
              <w:t>2）DC12V5A：主要用于操作面板，与汽车保持相同的电压，并且可以模拟9V到14V之间。</w:t>
            </w:r>
            <w:r>
              <w:rPr>
                <w:rFonts w:hint="eastAsia" w:ascii="宋体" w:hAnsi="宋体" w:cs="宋体"/>
              </w:rPr>
              <w:br w:type="textWrapping"/>
            </w:r>
            <w:r>
              <w:rPr>
                <w:rFonts w:hint="eastAsia" w:ascii="宋体" w:hAnsi="宋体" w:cs="宋体"/>
              </w:rPr>
              <w:t>2、故障设置类型：</w:t>
            </w:r>
            <w:r>
              <w:rPr>
                <w:rFonts w:hint="eastAsia" w:ascii="宋体" w:hAnsi="宋体" w:cs="宋体"/>
              </w:rPr>
              <w:br w:type="textWrapping"/>
            </w:r>
            <w:r>
              <w:rPr>
                <w:rFonts w:hint="eastAsia" w:ascii="宋体" w:hAnsi="宋体" w:cs="宋体"/>
              </w:rPr>
              <w:t>1）开路故障：24个；</w:t>
            </w:r>
            <w:r>
              <w:rPr>
                <w:rFonts w:hint="eastAsia" w:ascii="宋体" w:hAnsi="宋体" w:cs="宋体"/>
              </w:rPr>
              <w:br w:type="textWrapping"/>
            </w:r>
            <w:r>
              <w:rPr>
                <w:rFonts w:hint="eastAsia" w:ascii="宋体" w:hAnsi="宋体" w:cs="宋体"/>
              </w:rPr>
              <w:t>2）短路故障：16个</w:t>
            </w:r>
            <w:r>
              <w:rPr>
                <w:rFonts w:hint="eastAsia" w:ascii="宋体" w:hAnsi="宋体" w:cs="宋体"/>
              </w:rPr>
              <w:br w:type="textWrapping"/>
            </w:r>
            <w:r>
              <w:rPr>
                <w:rFonts w:hint="eastAsia" w:ascii="宋体" w:hAnsi="宋体" w:cs="宋体"/>
              </w:rPr>
              <w:t>2、触摸屏：4.7寸彩色电容屏</w:t>
            </w:r>
            <w:r>
              <w:rPr>
                <w:rFonts w:hint="eastAsia" w:ascii="宋体" w:hAnsi="宋体" w:cs="宋体"/>
              </w:rPr>
              <w:br w:type="textWrapping"/>
            </w:r>
            <w:r>
              <w:rPr>
                <w:rFonts w:hint="eastAsia" w:ascii="宋体" w:hAnsi="宋体" w:cs="宋体"/>
              </w:rPr>
              <w:t>3、设备使用环境</w:t>
            </w:r>
            <w:r>
              <w:rPr>
                <w:rFonts w:hint="eastAsia" w:ascii="宋体" w:hAnsi="宋体" w:cs="宋体"/>
              </w:rPr>
              <w:br w:type="textWrapping"/>
            </w:r>
            <w:r>
              <w:rPr>
                <w:rFonts w:hint="eastAsia" w:ascii="宋体" w:hAnsi="宋体" w:cs="宋体"/>
              </w:rPr>
              <w:t>1）环境温度：-10℃～60℃</w:t>
            </w:r>
            <w:r>
              <w:rPr>
                <w:rFonts w:hint="eastAsia" w:ascii="宋体" w:hAnsi="宋体" w:cs="宋体"/>
              </w:rPr>
              <w:br w:type="textWrapping"/>
            </w:r>
            <w:r>
              <w:rPr>
                <w:rFonts w:hint="eastAsia" w:ascii="宋体" w:hAnsi="宋体" w:cs="宋体"/>
              </w:rPr>
              <w:t>2）环境湿度：小于90%HR</w:t>
            </w:r>
            <w:r>
              <w:rPr>
                <w:rFonts w:hint="eastAsia" w:ascii="宋体" w:hAnsi="宋体" w:cs="宋体"/>
              </w:rPr>
              <w:br w:type="textWrapping"/>
            </w:r>
            <w:r>
              <w:rPr>
                <w:rFonts w:hint="eastAsia" w:ascii="宋体" w:hAnsi="宋体" w:cs="宋体"/>
              </w:rPr>
              <w:t>三、工艺要求：</w:t>
            </w:r>
            <w:r>
              <w:rPr>
                <w:rFonts w:hint="eastAsia" w:ascii="宋体" w:hAnsi="宋体" w:cs="宋体"/>
              </w:rPr>
              <w:br w:type="textWrapping"/>
            </w:r>
            <w:r>
              <w:rPr>
                <w:rFonts w:hint="eastAsia" w:ascii="宋体" w:hAnsi="宋体" w:cs="宋体"/>
              </w:rPr>
              <w:t>工艺要求：汽车电子电器实验箱采用双层箱体式，外观由铝合框架+密度板设计而成，检测面板采用7075铝合金材料，激光一体成型，表面采用高温喷塑工艺+UV固化工艺表面印刷电器符号，采用3mm安全型检测端子，检测端子连接处采用PCB板材，PCB板应采用一体化电路板设计，采用机械贴片焊接，设备采用电弧灭弧保护电路与多重安全保护，内置一体化不少于2层PCB无铅环保电路整体封装，PCB板电路封装达到车规级技术标准，PCB板内部采用2盎司铜箔布线，耐流等级为10A。使检检测端子牢牢固定在线路板上，避免端子松动，接触不良带来的故障分析问题，设有易损件快换区，发现损坏更轻松进行更好电阻、电容等零部件。</w:t>
            </w:r>
            <w:r>
              <w:rPr>
                <w:rFonts w:hint="eastAsia" w:ascii="宋体" w:hAnsi="宋体" w:cs="宋体"/>
              </w:rPr>
              <w:br w:type="textWrapping"/>
            </w:r>
            <w:r>
              <w:rPr>
                <w:rFonts w:hint="eastAsia" w:ascii="宋体" w:hAnsi="宋体" w:cs="宋体"/>
              </w:rPr>
              <w:t>四、备品备件：</w:t>
            </w:r>
            <w:r>
              <w:rPr>
                <w:rFonts w:hint="eastAsia" w:ascii="宋体" w:hAnsi="宋体" w:cs="宋体"/>
              </w:rPr>
              <w:br w:type="textWrapping"/>
            </w:r>
            <w:r>
              <w:rPr>
                <w:rFonts w:hint="eastAsia" w:ascii="宋体" w:hAnsi="宋体" w:cs="宋体"/>
              </w:rPr>
              <w:t>每台设备配套一台汽车专用万用表、4只12V5w灯泡、2个四脚继电器、2个五脚继电器、3*0.75²电线1.5米、红黑绿导线共计30条、含故障线。</w:t>
            </w:r>
            <w:r>
              <w:rPr>
                <w:rFonts w:hint="eastAsia" w:ascii="宋体" w:hAnsi="宋体" w:cs="宋体"/>
              </w:rPr>
              <w:br w:type="textWrapping"/>
            </w:r>
            <w:r>
              <w:rPr>
                <w:rFonts w:hint="eastAsia" w:ascii="宋体" w:hAnsi="宋体" w:cs="宋体"/>
              </w:rPr>
              <w:t>五、虚拟测量界面系统（汽车电子电器实训仿真教学平台）</w:t>
            </w:r>
            <w:r>
              <w:rPr>
                <w:rFonts w:hint="eastAsia" w:ascii="宋体" w:hAnsi="宋体" w:cs="宋体"/>
              </w:rPr>
              <w:br w:type="textWrapping"/>
            </w:r>
            <w:r>
              <w:rPr>
                <w:rFonts w:hint="eastAsia" w:ascii="宋体" w:hAnsi="宋体" w:cs="宋体"/>
              </w:rPr>
              <w:t>1.常用工具：试电笔、螺丝刀、钢丝钳、电烙铁等等。</w:t>
            </w:r>
            <w:r>
              <w:rPr>
                <w:rFonts w:hint="eastAsia" w:ascii="宋体" w:hAnsi="宋体" w:cs="宋体"/>
              </w:rPr>
              <w:br w:type="textWrapping"/>
            </w:r>
            <w:r>
              <w:rPr>
                <w:rFonts w:hint="eastAsia" w:ascii="宋体" w:hAnsi="宋体" w:cs="宋体"/>
              </w:rPr>
              <w:t>2.课程包括导线连接焊接工艺：焊接工具、焊接过程、焊接质量、拆焊过程等。</w:t>
            </w:r>
            <w:r>
              <w:rPr>
                <w:rFonts w:hint="eastAsia" w:ascii="宋体" w:hAnsi="宋体" w:cs="宋体"/>
              </w:rPr>
              <w:br w:type="textWrapping"/>
            </w:r>
            <w:r>
              <w:rPr>
                <w:rFonts w:hint="eastAsia" w:ascii="宋体" w:hAnsi="宋体" w:cs="宋体"/>
              </w:rPr>
              <w:t>3.课程包括安全用电常识：触电方式、防护措施、接地接零、急救措施及人工急救</w:t>
            </w:r>
            <w:r>
              <w:rPr>
                <w:rFonts w:hint="eastAsia" w:ascii="宋体" w:hAnsi="宋体" w:cs="宋体"/>
              </w:rPr>
              <w:br w:type="textWrapping"/>
            </w:r>
            <w:r>
              <w:rPr>
                <w:rFonts w:hint="eastAsia" w:ascii="宋体" w:hAnsi="宋体" w:cs="宋体"/>
              </w:rPr>
              <w:t>4.课程包括仪表：万用表、电能表、钳形电流表、兆欧表、直流电桥、配电板等。</w:t>
            </w:r>
            <w:r>
              <w:rPr>
                <w:rFonts w:hint="eastAsia" w:ascii="宋体" w:hAnsi="宋体" w:cs="宋体"/>
              </w:rPr>
              <w:br w:type="textWrapping"/>
            </w:r>
            <w:r>
              <w:rPr>
                <w:rFonts w:hint="eastAsia" w:ascii="宋体" w:hAnsi="宋体" w:cs="宋体"/>
              </w:rPr>
              <w:t>5．照明电路：荧光灯、两地控制灯。</w:t>
            </w:r>
            <w:r>
              <w:rPr>
                <w:rFonts w:hint="eastAsia" w:ascii="宋体" w:hAnsi="宋体" w:cs="宋体"/>
              </w:rPr>
              <w:br w:type="textWrapping"/>
            </w:r>
            <w:r>
              <w:rPr>
                <w:rFonts w:hint="eastAsia" w:ascii="宋体" w:hAnsi="宋体" w:cs="宋体"/>
              </w:rPr>
              <w:t>6.电机与变压器：三相异步电动机、单相异步电动机、伺服电机、步进电机、直流电机、变压器等。</w:t>
            </w:r>
            <w:r>
              <w:rPr>
                <w:rFonts w:hint="eastAsia" w:ascii="宋体" w:hAnsi="宋体" w:cs="宋体"/>
              </w:rPr>
              <w:br w:type="textWrapping"/>
            </w:r>
            <w:r>
              <w:rPr>
                <w:rFonts w:hint="eastAsia" w:ascii="宋体" w:hAnsi="宋体" w:cs="宋体"/>
              </w:rPr>
              <w:t>7．低压电器：交流接触器、继电器、常用闸刀开关、低压断路器、熔断器、起动器、主令电器。教学平台电机控制电路：有过载保护运转控制、联动控制、行程控制、自耦降压启动、接触器Y-△起动、时间继电器Y-△起动、机械制动、反接制动、能耗制动、双速调速、电动葫芦、绕线式电动机起动控制、车床控制、磨床控制、钻床控制、直流调速、直流制动、直流正反转。包括元件介绍、电路原理语音视频讲解、仿真实训配盘接线、仿真运行、模拟、设置故障、查找排除故障、并附有答案和操作提示。教学平台汽车电路电工识图：电工图形、符号、原理图、接线图的绘制原则和分析方法，带实训题和答案及操作提示等。可满足学生对电气元件符号标准了解、电气控制原理图的绘制、仿真、模拟，电气系统分析，并且能够通过电气原理图辅助自动生成接线图。教学平台10. 汽车电路电气绘图：包含一款电路图绘制仿真教学平台，是模拟电路的仿真教学平台，可以打开CAD格式的电路图并构建新的电气图。有丰富的工具栏，可以显示电源保险丝，隔离开关，接触器开关和电机电气部件。显示触点开关按钮，电子原件和接触器线边缘等工具，提供各种常用的电路元件符号，用户可以直接调用，帮助用户轻松绘制电路图，并可以模拟操作，支持单步模拟。</w:t>
            </w:r>
            <w:r>
              <w:rPr>
                <w:rFonts w:hint="eastAsia" w:ascii="宋体" w:hAnsi="宋体" w:cs="宋体"/>
              </w:rPr>
              <w:br w:type="textWrapping"/>
            </w:r>
            <w:r>
              <w:rPr>
                <w:rFonts w:hint="eastAsia" w:ascii="宋体" w:hAnsi="宋体" w:cs="宋体"/>
              </w:rPr>
              <w:t>六、配套交互式多媒体教学平台（汽车电子电器课程资源）</w:t>
            </w:r>
            <w:r>
              <w:rPr>
                <w:rFonts w:hint="eastAsia" w:ascii="宋体" w:hAnsi="宋体" w:cs="宋体"/>
              </w:rPr>
              <w:br w:type="textWrapping"/>
            </w:r>
            <w:r>
              <w:rPr>
                <w:rFonts w:hint="eastAsia" w:ascii="宋体" w:hAnsi="宋体" w:cs="宋体"/>
              </w:rPr>
              <w:t>学习方法：</w:t>
            </w:r>
            <w:r>
              <w:rPr>
                <w:rFonts w:hint="eastAsia" w:ascii="宋体" w:hAnsi="宋体" w:cs="宋体"/>
              </w:rPr>
              <w:br w:type="textWrapping"/>
            </w:r>
            <w:r>
              <w:rPr>
                <w:rFonts w:hint="eastAsia" w:ascii="宋体" w:hAnsi="宋体" w:cs="宋体"/>
              </w:rPr>
              <w:t>1、课程内容以翻转课堂的模块化课程制作方式为指导，系统性的进行碎片化处理，课程目录下含有原理结构微图文，作业指导微视频，教学重难点微等相关信息。</w:t>
            </w:r>
            <w:r>
              <w:rPr>
                <w:rFonts w:hint="eastAsia" w:ascii="宋体" w:hAnsi="宋体" w:cs="宋体"/>
              </w:rPr>
              <w:br w:type="textWrapping"/>
            </w:r>
            <w:r>
              <w:rPr>
                <w:rFonts w:hint="eastAsia" w:ascii="宋体" w:hAnsi="宋体" w:cs="宋体"/>
              </w:rPr>
              <w:t>2、在鼓励学员通过移动教学终端进行随时、随地、随需的碎片化学习的基础上，也极大的降低了的教师部分低附加值的重复劳动，并快速、准确的呈现出教学过程中的数据。</w:t>
            </w:r>
            <w:r>
              <w:rPr>
                <w:rFonts w:hint="eastAsia" w:ascii="宋体" w:hAnsi="宋体" w:cs="宋体"/>
              </w:rPr>
              <w:br w:type="textWrapping"/>
            </w:r>
            <w:r>
              <w:rPr>
                <w:rFonts w:hint="eastAsia" w:ascii="宋体" w:hAnsi="宋体" w:cs="宋体"/>
              </w:rPr>
              <w:t>3、二维码系统学习法：配合一体化学生实训二维码工作页进行自主式学习，学员在每一步实训过程中扫描工作页及设备面板上的二维码即可得到所需要的实训微课程，任务明确，目标清晰，保障了学习质量。</w:t>
            </w:r>
            <w:r>
              <w:rPr>
                <w:rFonts w:hint="eastAsia" w:ascii="宋体" w:hAnsi="宋体" w:cs="宋体"/>
              </w:rPr>
              <w:br w:type="textWrapping"/>
            </w:r>
            <w:r>
              <w:rPr>
                <w:rFonts w:hint="eastAsia" w:ascii="宋体" w:hAnsi="宋体" w:cs="宋体"/>
              </w:rPr>
              <w:t xml:space="preserve">4、系统目录，必须包含不少于三级菜单，一级菜单为车型学习选择主菜单，二级菜单为学习项目子菜单，三级菜单为学习任务子菜单，学习任务子菜单根据学习难易程度进行星标注明。 </w:t>
            </w:r>
            <w:r>
              <w:rPr>
                <w:rFonts w:hint="eastAsia" w:ascii="宋体" w:hAnsi="宋体" w:cs="宋体"/>
              </w:rPr>
              <w:br w:type="textWrapping"/>
            </w:r>
            <w:r>
              <w:rPr>
                <w:rFonts w:hint="eastAsia" w:ascii="宋体" w:hAnsi="宋体" w:cs="宋体"/>
              </w:rPr>
              <w:t>5、与一体化学生工作页目录相同的课程任务学习菜单以及微课程内容，每一个学习任务子菜单中均包含维修项目的原理结构图文信息，视频教学场景与一体化教具以及一体化工量具及耗材环境配套完全一致，完整地呈现教中学、学中做的理实一体化教学内容。每一个微课程均具有离线下载、点赞、纠错功能。</w:t>
            </w:r>
            <w:r>
              <w:rPr>
                <w:rFonts w:hint="eastAsia" w:ascii="宋体" w:hAnsi="宋体" w:cs="宋体"/>
              </w:rPr>
              <w:br w:type="textWrapping"/>
            </w:r>
            <w:r>
              <w:rPr>
                <w:rFonts w:hint="eastAsia" w:ascii="宋体" w:hAnsi="宋体" w:cs="宋体"/>
              </w:rPr>
              <w:t>6、老师可自制课程试题，试题具备单选、多选及智能提示功能，任意学员的答题成绩可查询。</w:t>
            </w:r>
            <w:r>
              <w:rPr>
                <w:rFonts w:hint="eastAsia" w:ascii="宋体" w:hAnsi="宋体" w:cs="宋体"/>
              </w:rPr>
              <w:br w:type="textWrapping"/>
            </w:r>
            <w:r>
              <w:rPr>
                <w:rFonts w:hint="eastAsia" w:ascii="宋体" w:hAnsi="宋体" w:cs="宋体"/>
              </w:rPr>
              <w:t>7、错题本功能，错题本可将学生的答题结果分别按照课程目录进行归类统计，同时可使用翻页功能进行实时的学习评价回顾。</w:t>
            </w:r>
            <w:r>
              <w:rPr>
                <w:rFonts w:hint="eastAsia" w:ascii="宋体" w:hAnsi="宋体" w:cs="宋体"/>
              </w:rPr>
              <w:br w:type="textWrapping"/>
            </w:r>
            <w:r>
              <w:rPr>
                <w:rFonts w:hint="eastAsia" w:ascii="宋体" w:hAnsi="宋体" w:cs="宋体"/>
              </w:rPr>
              <w:t>8、学习排行榜功能，课时完结后，系统根据学员的做题量以及做题标准程度进行大数据排行比较，学习个人信息进行数据比较。</w:t>
            </w:r>
            <w:r>
              <w:rPr>
                <w:rFonts w:hint="eastAsia" w:ascii="宋体" w:hAnsi="宋体" w:cs="宋体"/>
              </w:rPr>
              <w:br w:type="textWrapping"/>
            </w:r>
            <w:r>
              <w:rPr>
                <w:rFonts w:hint="eastAsia" w:ascii="宋体" w:hAnsi="宋体" w:cs="宋体"/>
              </w:rPr>
              <w:t>9、个人信息功能，为方便对学生个人信息进行实时的大数据管理，系统自带学员个人信息管理功能，在初次登陆系统时，学员可将个人信息录入至系统平台，包括昵称、性别、生日、校名、班级、通讯地址等详细信息，方便学校进行检索管理。</w:t>
            </w:r>
            <w:r>
              <w:rPr>
                <w:rFonts w:hint="eastAsia" w:ascii="宋体" w:hAnsi="宋体" w:cs="宋体"/>
              </w:rPr>
              <w:br w:type="textWrapping"/>
            </w:r>
            <w:r>
              <w:rPr>
                <w:rFonts w:hint="eastAsia" w:ascii="宋体" w:hAnsi="宋体" w:cs="宋体"/>
              </w:rPr>
              <w:t>10、APP移动应用内的在线客服功能，在线客服功能窗口与管理员可进行实时文字对话，具备文字输入窗口，系统管理员可将教学过程中的服务与教学指导进行实时传输对话。</w:t>
            </w:r>
            <w:r>
              <w:rPr>
                <w:rFonts w:hint="eastAsia" w:ascii="宋体" w:hAnsi="宋体" w:cs="宋体"/>
              </w:rPr>
              <w:br w:type="textWrapping"/>
            </w:r>
            <w:r>
              <w:rPr>
                <w:rFonts w:hint="eastAsia" w:ascii="宋体" w:hAnsi="宋体" w:cs="宋体"/>
              </w:rPr>
              <w:t>11、课程资源：</w:t>
            </w:r>
            <w:r>
              <w:rPr>
                <w:rFonts w:hint="eastAsia" w:ascii="宋体" w:hAnsi="宋体" w:cs="宋体"/>
              </w:rPr>
              <w:br w:type="textWrapping"/>
            </w:r>
            <w:r>
              <w:rPr>
                <w:rFonts w:hint="eastAsia" w:ascii="宋体" w:hAnsi="宋体" w:cs="宋体"/>
              </w:rPr>
              <w:t>1、配套汽车电子电器实训教材（130页）</w:t>
            </w:r>
            <w:r>
              <w:rPr>
                <w:rFonts w:hint="eastAsia" w:ascii="宋体" w:hAnsi="宋体" w:cs="宋体"/>
              </w:rPr>
              <w:br w:type="textWrapping"/>
            </w:r>
            <w:r>
              <w:rPr>
                <w:rFonts w:hint="eastAsia" w:ascii="宋体" w:hAnsi="宋体" w:cs="宋体"/>
              </w:rPr>
              <w:t>2、汽车电子电器实验箱的实训指导书</w:t>
            </w:r>
            <w:r>
              <w:rPr>
                <w:rFonts w:hint="eastAsia" w:ascii="宋体" w:hAnsi="宋体" w:cs="宋体"/>
              </w:rPr>
              <w:br w:type="textWrapping"/>
            </w:r>
            <w:r>
              <w:rPr>
                <w:rFonts w:hint="eastAsia" w:ascii="宋体" w:hAnsi="宋体" w:cs="宋体"/>
              </w:rPr>
              <w:t>3、汽车电子电器实验箱智能化故障设置系统实训指导书</w:t>
            </w:r>
            <w:r>
              <w:rPr>
                <w:rFonts w:hint="eastAsia" w:ascii="宋体" w:hAnsi="宋体" w:cs="宋体"/>
              </w:rPr>
              <w:br w:type="textWrapping"/>
            </w:r>
            <w:r>
              <w:rPr>
                <w:rFonts w:hint="eastAsia" w:ascii="宋体" w:hAnsi="宋体" w:cs="宋体"/>
              </w:rPr>
              <w:t>4、汽车电子电器实验箱教学资源动画和微课程配套</w:t>
            </w:r>
            <w:r>
              <w:rPr>
                <w:rFonts w:hint="eastAsia" w:ascii="宋体" w:hAnsi="宋体" w:cs="宋体"/>
              </w:rPr>
              <w:br w:type="textWrapping"/>
            </w:r>
            <w:r>
              <w:rPr>
                <w:rFonts w:hint="eastAsia" w:ascii="宋体" w:hAnsi="宋体" w:cs="宋体"/>
              </w:rPr>
              <w:t>项目一电路检修基础技能训练</w:t>
            </w:r>
            <w:r>
              <w:rPr>
                <w:rFonts w:hint="eastAsia" w:ascii="宋体" w:hAnsi="宋体" w:cs="宋体"/>
              </w:rPr>
              <w:br w:type="textWrapping"/>
            </w:r>
            <w:r>
              <w:rPr>
                <w:rFonts w:hint="eastAsia" w:ascii="宋体" w:hAnsi="宋体" w:cs="宋体"/>
              </w:rPr>
              <w:t>任务一数字万用表的使用</w:t>
            </w:r>
            <w:r>
              <w:rPr>
                <w:rFonts w:hint="eastAsia" w:ascii="宋体" w:hAnsi="宋体" w:cs="宋体"/>
              </w:rPr>
              <w:br w:type="textWrapping"/>
            </w:r>
            <w:r>
              <w:rPr>
                <w:rFonts w:hint="eastAsia" w:ascii="宋体" w:hAnsi="宋体" w:cs="宋体"/>
              </w:rPr>
              <w:t>任务二线路连接</w:t>
            </w:r>
            <w:r>
              <w:rPr>
                <w:rFonts w:hint="eastAsia" w:ascii="宋体" w:hAnsi="宋体" w:cs="宋体"/>
              </w:rPr>
              <w:br w:type="textWrapping"/>
            </w:r>
            <w:r>
              <w:rPr>
                <w:rFonts w:hint="eastAsia" w:ascii="宋体" w:hAnsi="宋体" w:cs="宋体"/>
              </w:rPr>
              <w:t>任务三线路焊接</w:t>
            </w:r>
            <w:r>
              <w:rPr>
                <w:rFonts w:hint="eastAsia" w:ascii="宋体" w:hAnsi="宋体" w:cs="宋体"/>
              </w:rPr>
              <w:br w:type="textWrapping"/>
            </w:r>
            <w:r>
              <w:rPr>
                <w:rFonts w:hint="eastAsia" w:ascii="宋体" w:hAnsi="宋体" w:cs="宋体"/>
              </w:rPr>
              <w:t>项目二电工电路连接与检测</w:t>
            </w:r>
            <w:r>
              <w:rPr>
                <w:rFonts w:hint="eastAsia" w:ascii="宋体" w:hAnsi="宋体" w:cs="宋体"/>
              </w:rPr>
              <w:br w:type="textWrapping"/>
            </w:r>
            <w:r>
              <w:rPr>
                <w:rFonts w:hint="eastAsia" w:ascii="宋体" w:hAnsi="宋体" w:cs="宋体"/>
              </w:rPr>
              <w:t>任务一灯光基本电路连接与检测</w:t>
            </w:r>
            <w:r>
              <w:rPr>
                <w:rFonts w:hint="eastAsia" w:ascii="宋体" w:hAnsi="宋体" w:cs="宋体"/>
              </w:rPr>
              <w:br w:type="textWrapping"/>
            </w:r>
            <w:r>
              <w:rPr>
                <w:rFonts w:hint="eastAsia" w:ascii="宋体" w:hAnsi="宋体" w:cs="宋体"/>
              </w:rPr>
              <w:t>任务二灯光并联电路连接与检测</w:t>
            </w:r>
            <w:r>
              <w:rPr>
                <w:rFonts w:hint="eastAsia" w:ascii="宋体" w:hAnsi="宋体" w:cs="宋体"/>
              </w:rPr>
              <w:br w:type="textWrapping"/>
            </w:r>
            <w:r>
              <w:rPr>
                <w:rFonts w:hint="eastAsia" w:ascii="宋体" w:hAnsi="宋体" w:cs="宋体"/>
              </w:rPr>
              <w:t>任务三灯光串联电路连接与检测</w:t>
            </w:r>
            <w:r>
              <w:rPr>
                <w:rFonts w:hint="eastAsia" w:ascii="宋体" w:hAnsi="宋体" w:cs="宋体"/>
              </w:rPr>
              <w:br w:type="textWrapping"/>
            </w:r>
            <w:r>
              <w:rPr>
                <w:rFonts w:hint="eastAsia" w:ascii="宋体" w:hAnsi="宋体" w:cs="宋体"/>
              </w:rPr>
              <w:t>任务四灯光混联电路连接与检测</w:t>
            </w:r>
            <w:r>
              <w:rPr>
                <w:rFonts w:hint="eastAsia" w:ascii="宋体" w:hAnsi="宋体" w:cs="宋体"/>
              </w:rPr>
              <w:br w:type="textWrapping"/>
            </w:r>
            <w:r>
              <w:rPr>
                <w:rFonts w:hint="eastAsia" w:ascii="宋体" w:hAnsi="宋体" w:cs="宋体"/>
              </w:rPr>
              <w:t>任务五继电器控制汽车灯光电路连接与检测</w:t>
            </w:r>
            <w:r>
              <w:rPr>
                <w:rFonts w:hint="eastAsia" w:ascii="宋体" w:hAnsi="宋体" w:cs="宋体"/>
              </w:rPr>
              <w:br w:type="textWrapping"/>
            </w:r>
            <w:r>
              <w:rPr>
                <w:rFonts w:hint="eastAsia" w:ascii="宋体" w:hAnsi="宋体" w:cs="宋体"/>
              </w:rPr>
              <w:t>任务六直流电动机正反转电路连接与检测</w:t>
            </w:r>
            <w:r>
              <w:rPr>
                <w:rFonts w:hint="eastAsia" w:ascii="宋体" w:hAnsi="宋体" w:cs="宋体"/>
              </w:rPr>
              <w:br w:type="textWrapping"/>
            </w:r>
            <w:r>
              <w:rPr>
                <w:rFonts w:hint="eastAsia" w:ascii="宋体" w:hAnsi="宋体" w:cs="宋体"/>
              </w:rPr>
              <w:t>项目三电子电路连接与检测</w:t>
            </w:r>
            <w:r>
              <w:rPr>
                <w:rFonts w:hint="eastAsia" w:ascii="宋体" w:hAnsi="宋体" w:cs="宋体"/>
              </w:rPr>
              <w:br w:type="textWrapping"/>
            </w:r>
            <w:r>
              <w:rPr>
                <w:rFonts w:hint="eastAsia" w:ascii="宋体" w:hAnsi="宋体" w:cs="宋体"/>
              </w:rPr>
              <w:t>任务一带二极管控制汽车灯光电路连接与检测</w:t>
            </w:r>
            <w:r>
              <w:rPr>
                <w:rFonts w:hint="eastAsia" w:ascii="宋体" w:hAnsi="宋体" w:cs="宋体"/>
              </w:rPr>
              <w:br w:type="textWrapping"/>
            </w:r>
            <w:r>
              <w:rPr>
                <w:rFonts w:hint="eastAsia" w:ascii="宋体" w:hAnsi="宋体" w:cs="宋体"/>
              </w:rPr>
              <w:t>任务二晶体管控制汽车灯光电路连接与检测</w:t>
            </w:r>
            <w:r>
              <w:rPr>
                <w:rFonts w:hint="eastAsia" w:ascii="宋体" w:hAnsi="宋体" w:cs="宋体"/>
              </w:rPr>
              <w:br w:type="textWrapping"/>
            </w:r>
            <w:r>
              <w:rPr>
                <w:rFonts w:hint="eastAsia" w:ascii="宋体" w:hAnsi="宋体" w:cs="宋体"/>
              </w:rPr>
              <w:t>任务三晶体管控制汽车灯光明暗电路连接与检测</w:t>
            </w:r>
            <w:r>
              <w:rPr>
                <w:rFonts w:hint="eastAsia" w:ascii="宋体" w:hAnsi="宋体" w:cs="宋体"/>
              </w:rPr>
              <w:br w:type="textWrapping"/>
            </w:r>
            <w:r>
              <w:rPr>
                <w:rFonts w:hint="eastAsia" w:ascii="宋体" w:hAnsi="宋体" w:cs="宋体"/>
              </w:rPr>
              <w:t>项目四集成电路连接与检测</w:t>
            </w:r>
            <w:r>
              <w:rPr>
                <w:rFonts w:hint="eastAsia" w:ascii="宋体" w:hAnsi="宋体" w:cs="宋体"/>
              </w:rPr>
              <w:br w:type="textWrapping"/>
            </w:r>
            <w:r>
              <w:rPr>
                <w:rFonts w:hint="eastAsia" w:ascii="宋体" w:hAnsi="宋体" w:cs="宋体"/>
              </w:rPr>
              <w:t>任务一集成运算放大器控制汽车灯光电路连接与检测</w:t>
            </w:r>
            <w:r>
              <w:rPr>
                <w:rFonts w:hint="eastAsia" w:ascii="宋体" w:hAnsi="宋体" w:cs="宋体"/>
              </w:rPr>
              <w:br w:type="textWrapping"/>
            </w:r>
            <w:r>
              <w:rPr>
                <w:rFonts w:hint="eastAsia" w:ascii="宋体" w:hAnsi="宋体" w:cs="宋体"/>
              </w:rPr>
              <w:t>任务二集成逻辑门控制汽车灯光电路连接与检测</w:t>
            </w:r>
            <w:r>
              <w:rPr>
                <w:rFonts w:hint="eastAsia" w:ascii="宋体" w:hAnsi="宋体" w:cs="宋体"/>
              </w:rPr>
              <w:br w:type="textWrapping"/>
            </w:r>
            <w:r>
              <w:rPr>
                <w:rFonts w:hint="eastAsia" w:ascii="宋体" w:hAnsi="宋体" w:cs="宋体"/>
              </w:rPr>
              <w:t>任务三灯光闪烁与明暗电路连接与检测</w:t>
            </w:r>
            <w:r>
              <w:rPr>
                <w:rFonts w:hint="eastAsia" w:ascii="宋体" w:hAnsi="宋体" w:cs="宋体"/>
              </w:rPr>
              <w:br w:type="textWrapping"/>
            </w:r>
            <w:r>
              <w:rPr>
                <w:rFonts w:hint="eastAsia" w:ascii="宋体" w:hAnsi="宋体" w:cs="宋体"/>
              </w:rPr>
              <w:t>项目五交流电路连接与检测</w:t>
            </w:r>
            <w:r>
              <w:rPr>
                <w:rFonts w:hint="eastAsia" w:ascii="宋体" w:hAnsi="宋体" w:cs="宋体"/>
              </w:rPr>
              <w:br w:type="textWrapping"/>
            </w:r>
            <w:r>
              <w:rPr>
                <w:rFonts w:hint="eastAsia" w:ascii="宋体" w:hAnsi="宋体" w:cs="宋体"/>
              </w:rPr>
              <w:t>任务一汽车电灯线路连接</w:t>
            </w:r>
            <w:r>
              <w:rPr>
                <w:rFonts w:hint="eastAsia" w:ascii="宋体" w:hAnsi="宋体" w:cs="宋体"/>
              </w:rPr>
              <w:br w:type="textWrapping"/>
            </w:r>
            <w:r>
              <w:rPr>
                <w:rFonts w:hint="eastAsia" w:ascii="宋体" w:hAnsi="宋体" w:cs="宋体"/>
              </w:rPr>
              <w:t>任务二新能源汽车电动机运转线路连接</w:t>
            </w:r>
            <w:r>
              <w:rPr>
                <w:rFonts w:hint="eastAsia" w:ascii="宋体" w:hAnsi="宋体" w:cs="宋体"/>
              </w:rPr>
              <w:br w:type="textWrapping"/>
            </w:r>
            <w:r>
              <w:rPr>
                <w:rFonts w:hint="eastAsia" w:ascii="宋体" w:hAnsi="宋体" w:cs="宋体"/>
              </w:rPr>
              <w:t>任务三新能源汽车电动机运转线路连接</w:t>
            </w:r>
            <w:r>
              <w:rPr>
                <w:rFonts w:hint="eastAsia" w:ascii="宋体" w:hAnsi="宋体" w:cs="宋体"/>
              </w:rPr>
              <w:br w:type="textWrapping"/>
            </w:r>
            <w:r>
              <w:rPr>
                <w:rFonts w:hint="eastAsia" w:ascii="宋体" w:hAnsi="宋体" w:cs="宋体"/>
              </w:rPr>
              <w:t>任务四接触器控制的新能源汽车电动机运转线路的连接</w:t>
            </w:r>
            <w:r>
              <w:rPr>
                <w:rFonts w:hint="eastAsia" w:ascii="宋体" w:hAnsi="宋体" w:cs="宋体"/>
              </w:rPr>
              <w:br w:type="textWrapping"/>
            </w:r>
            <w:r>
              <w:rPr>
                <w:rFonts w:hint="eastAsia" w:ascii="宋体" w:hAnsi="宋体" w:cs="宋体"/>
              </w:rPr>
              <w:t>提供配套对应的汽车电子电器实训教材资源（130页）、汽车电子电器实验箱的实训指导书、汽车电子电器实验箱智能化故障设置系统实训指导书样书佐证展示满足技术参数。</w:t>
            </w:r>
            <w:r>
              <w:rPr>
                <w:rFonts w:hint="eastAsia" w:ascii="宋体" w:hAnsi="宋体" w:cs="宋体"/>
              </w:rPr>
              <w:br w:type="textWrapping"/>
            </w:r>
            <w:r>
              <w:rPr>
                <w:rFonts w:hint="eastAsia" w:ascii="宋体" w:hAnsi="宋体" w:cs="宋体"/>
              </w:rPr>
              <w:t>汽车电子电器实验箱采用双层箱体式，外观由铝合框架+密度板设计而成，检测面板采用7075铝合金材料，激光一体成型，表面采用高温喷塑工艺+UV固化工艺表面印刷电器符号，采用3mm安全型检测端子，检测端子连接处采用PCB板材，PCB板应采用一体化电路板设计，采用机械贴片焊接，设备采用电弧灭弧保护电路与多重安全保护，内置一体化不少于2层PCB无铅环保电路整体封装，PCB板电路封装达到车规级技术标准，PCB板内部采用2盎司铜箔布线，耐流等级为10A。使检检测端子牢牢固定在线路板上，避免端子松动，接触不良带来的故障分析问题，设有易损件快换区，发现损坏更轻松进行更好电阻、电容等零部件。</w:t>
            </w:r>
          </w:p>
        </w:tc>
        <w:tc>
          <w:tcPr>
            <w:tcW w:w="357" w:type="pct"/>
            <w:vAlign w:val="center"/>
          </w:tcPr>
          <w:p w14:paraId="26C832BB">
            <w:pPr>
              <w:jc w:val="center"/>
              <w:rPr>
                <w:rFonts w:hint="eastAsia" w:ascii="宋体" w:hAnsi="宋体" w:cs="宋体"/>
                <w:szCs w:val="21"/>
              </w:rPr>
            </w:pPr>
            <w:r>
              <w:rPr>
                <w:rFonts w:hint="eastAsia" w:ascii="宋体" w:hAnsi="宋体" w:cs="宋体"/>
                <w:szCs w:val="21"/>
              </w:rPr>
              <w:t>10</w:t>
            </w:r>
          </w:p>
        </w:tc>
        <w:tc>
          <w:tcPr>
            <w:tcW w:w="341" w:type="pct"/>
            <w:vAlign w:val="center"/>
          </w:tcPr>
          <w:p w14:paraId="694EF3D1">
            <w:pPr>
              <w:jc w:val="center"/>
              <w:rPr>
                <w:rFonts w:hint="eastAsia" w:ascii="宋体" w:hAnsi="宋体" w:cs="宋体"/>
                <w:szCs w:val="21"/>
              </w:rPr>
            </w:pPr>
          </w:p>
          <w:p w14:paraId="14EC887F">
            <w:pPr>
              <w:jc w:val="center"/>
              <w:rPr>
                <w:rFonts w:hint="eastAsia" w:ascii="宋体" w:hAnsi="宋体" w:cs="宋体"/>
                <w:szCs w:val="21"/>
              </w:rPr>
            </w:pPr>
          </w:p>
          <w:p w14:paraId="513D355F">
            <w:pPr>
              <w:jc w:val="center"/>
              <w:rPr>
                <w:rFonts w:hint="eastAsia" w:ascii="宋体" w:hAnsi="宋体" w:cs="宋体"/>
                <w:szCs w:val="21"/>
              </w:rPr>
            </w:pPr>
          </w:p>
          <w:p w14:paraId="3435510F">
            <w:pPr>
              <w:jc w:val="center"/>
              <w:rPr>
                <w:rFonts w:hint="eastAsia" w:ascii="宋体" w:hAnsi="宋体" w:cs="宋体"/>
                <w:szCs w:val="21"/>
              </w:rPr>
            </w:pPr>
          </w:p>
          <w:p w14:paraId="7C73743A">
            <w:pPr>
              <w:jc w:val="center"/>
              <w:rPr>
                <w:rFonts w:hint="eastAsia" w:ascii="宋体" w:hAnsi="宋体" w:cs="宋体"/>
                <w:szCs w:val="21"/>
              </w:rPr>
            </w:pPr>
          </w:p>
          <w:p w14:paraId="743ED5B8">
            <w:pPr>
              <w:jc w:val="center"/>
              <w:rPr>
                <w:rFonts w:hint="eastAsia" w:ascii="宋体" w:hAnsi="宋体" w:cs="宋体"/>
                <w:szCs w:val="21"/>
              </w:rPr>
            </w:pPr>
          </w:p>
          <w:p w14:paraId="2999EF67">
            <w:pPr>
              <w:jc w:val="center"/>
              <w:rPr>
                <w:rFonts w:hint="eastAsia" w:ascii="宋体" w:hAnsi="宋体" w:cs="宋体"/>
                <w:szCs w:val="21"/>
              </w:rPr>
            </w:pPr>
          </w:p>
          <w:p w14:paraId="11820A21">
            <w:pPr>
              <w:jc w:val="center"/>
              <w:rPr>
                <w:rFonts w:hint="eastAsia" w:ascii="宋体" w:hAnsi="宋体" w:cs="宋体"/>
                <w:szCs w:val="21"/>
              </w:rPr>
            </w:pPr>
          </w:p>
          <w:p w14:paraId="44CB40F2">
            <w:pPr>
              <w:jc w:val="center"/>
              <w:rPr>
                <w:rFonts w:hint="eastAsia" w:ascii="宋体" w:hAnsi="宋体" w:cs="宋体"/>
                <w:szCs w:val="21"/>
              </w:rPr>
            </w:pPr>
          </w:p>
          <w:p w14:paraId="44875D27">
            <w:pPr>
              <w:jc w:val="center"/>
              <w:rPr>
                <w:rFonts w:hint="eastAsia" w:ascii="宋体" w:hAnsi="宋体" w:cs="宋体"/>
                <w:szCs w:val="21"/>
              </w:rPr>
            </w:pPr>
          </w:p>
          <w:p w14:paraId="180D87D3">
            <w:pPr>
              <w:jc w:val="center"/>
              <w:rPr>
                <w:rFonts w:hint="eastAsia" w:ascii="宋体" w:hAnsi="宋体" w:cs="宋体"/>
                <w:szCs w:val="21"/>
              </w:rPr>
            </w:pPr>
          </w:p>
          <w:p w14:paraId="5A205748">
            <w:pPr>
              <w:jc w:val="center"/>
              <w:rPr>
                <w:rFonts w:hint="eastAsia" w:ascii="宋体" w:hAnsi="宋体" w:cs="宋体"/>
                <w:szCs w:val="21"/>
              </w:rPr>
            </w:pPr>
          </w:p>
          <w:p w14:paraId="25C156C0">
            <w:pPr>
              <w:jc w:val="center"/>
              <w:rPr>
                <w:rFonts w:hint="eastAsia" w:ascii="宋体" w:hAnsi="宋体" w:cs="宋体"/>
                <w:szCs w:val="21"/>
              </w:rPr>
            </w:pPr>
          </w:p>
          <w:p w14:paraId="0529C551">
            <w:pPr>
              <w:jc w:val="center"/>
              <w:rPr>
                <w:rFonts w:hint="eastAsia" w:ascii="宋体" w:hAnsi="宋体" w:cs="宋体"/>
                <w:szCs w:val="21"/>
              </w:rPr>
            </w:pPr>
          </w:p>
          <w:p w14:paraId="2E83656E">
            <w:pPr>
              <w:jc w:val="center"/>
              <w:rPr>
                <w:rFonts w:hint="eastAsia" w:ascii="宋体" w:hAnsi="宋体" w:cs="宋体"/>
                <w:szCs w:val="21"/>
              </w:rPr>
            </w:pPr>
            <w:r>
              <w:rPr>
                <w:rFonts w:hint="eastAsia" w:ascii="宋体" w:hAnsi="宋体" w:cs="宋体"/>
                <w:szCs w:val="21"/>
              </w:rPr>
              <w:t>套</w:t>
            </w:r>
          </w:p>
        </w:tc>
      </w:tr>
      <w:tr w14:paraId="7CA430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trHeight w:val="695" w:hRule="atLeast"/>
        </w:trPr>
        <w:tc>
          <w:tcPr>
            <w:tcW w:w="193" w:type="pct"/>
            <w:vAlign w:val="center"/>
          </w:tcPr>
          <w:p w14:paraId="2FFC05DB">
            <w:pPr>
              <w:jc w:val="center"/>
              <w:rPr>
                <w:rFonts w:hint="eastAsia" w:ascii="宋体" w:hAnsi="宋体" w:cs="宋体"/>
                <w:b/>
                <w:bCs/>
                <w:szCs w:val="21"/>
              </w:rPr>
            </w:pPr>
            <w:r>
              <w:rPr>
                <w:rFonts w:hint="eastAsia" w:ascii="宋体" w:hAnsi="宋体" w:cs="宋体"/>
                <w:szCs w:val="21"/>
              </w:rPr>
              <w:t>22</w:t>
            </w:r>
          </w:p>
        </w:tc>
        <w:tc>
          <w:tcPr>
            <w:tcW w:w="536" w:type="pct"/>
            <w:vAlign w:val="center"/>
          </w:tcPr>
          <w:p w14:paraId="7279646C">
            <w:pPr>
              <w:pStyle w:val="80"/>
              <w:jc w:val="center"/>
              <w:rPr>
                <w:rFonts w:hint="eastAsia" w:ascii="宋体" w:hAnsi="宋体" w:cs="宋体"/>
              </w:rPr>
            </w:pPr>
            <w:r>
              <w:rPr>
                <w:rFonts w:hint="eastAsia" w:ascii="宋体" w:hAnsi="宋体" w:cs="宋体"/>
              </w:rPr>
              <w:t>插电式混合动力汽车电池管理实训教学系统</w:t>
            </w:r>
          </w:p>
        </w:tc>
        <w:tc>
          <w:tcPr>
            <w:tcW w:w="3571" w:type="pct"/>
            <w:vAlign w:val="center"/>
          </w:tcPr>
          <w:p w14:paraId="360E671D">
            <w:pPr>
              <w:pStyle w:val="80"/>
              <w:ind w:left="105" w:leftChars="50"/>
              <w:jc w:val="left"/>
              <w:rPr>
                <w:rFonts w:hint="eastAsia" w:ascii="宋体" w:hAnsi="宋体" w:cs="宋体"/>
              </w:rPr>
            </w:pPr>
            <w:r>
              <w:rPr>
                <w:rFonts w:hint="eastAsia" w:ascii="宋体" w:hAnsi="宋体" w:cs="宋体"/>
              </w:rPr>
              <w:t>一、产品组成要求:</w:t>
            </w:r>
            <w:r>
              <w:rPr>
                <w:rFonts w:hint="eastAsia" w:ascii="宋体" w:hAnsi="宋体" w:cs="宋体"/>
              </w:rPr>
              <w:br w:type="textWrapping"/>
            </w:r>
            <w:r>
              <w:rPr>
                <w:rFonts w:hint="eastAsia" w:ascii="宋体" w:hAnsi="宋体" w:cs="宋体"/>
              </w:rPr>
              <w:t>1、动力电源(插电式混合动力)：三元锂动力电池组，纯电续航里程≥63Km,电池能量≥12.1KWh。</w:t>
            </w:r>
            <w:r>
              <w:rPr>
                <w:rFonts w:hint="eastAsia" w:ascii="宋体" w:hAnsi="宋体" w:cs="宋体"/>
              </w:rPr>
              <w:br w:type="textWrapping"/>
            </w:r>
            <w:r>
              <w:rPr>
                <w:rFonts w:hint="eastAsia" w:ascii="宋体" w:hAnsi="宋体" w:cs="宋体"/>
              </w:rPr>
              <w:t>2、电池管理系统：本车采用分布式电池管理系统，由电池管理控制器、电池信息采集器、电池采样线组成。</w:t>
            </w:r>
            <w:r>
              <w:rPr>
                <w:rFonts w:hint="eastAsia" w:ascii="宋体" w:hAnsi="宋体" w:cs="宋体"/>
              </w:rPr>
              <w:br w:type="textWrapping"/>
            </w:r>
            <w:r>
              <w:rPr>
                <w:rFonts w:hint="eastAsia" w:ascii="宋体" w:hAnsi="宋体" w:cs="宋体"/>
              </w:rPr>
              <w:t>3、控制面板：UV喷绘电路图板、双向检测端子。</w:t>
            </w:r>
            <w:r>
              <w:rPr>
                <w:rFonts w:hint="eastAsia" w:ascii="宋体" w:hAnsi="宋体" w:cs="宋体"/>
              </w:rPr>
              <w:br w:type="textWrapping"/>
            </w:r>
            <w:r>
              <w:rPr>
                <w:rFonts w:hint="eastAsia" w:ascii="宋体" w:hAnsi="宋体" w:cs="宋体"/>
              </w:rPr>
              <w:t>4、支撑平台：优质铝合金型材配套ABS吸塑外观 、万向锁止脚轮。</w:t>
            </w:r>
            <w:r>
              <w:rPr>
                <w:rFonts w:hint="eastAsia" w:ascii="宋体" w:hAnsi="宋体" w:cs="宋体"/>
              </w:rPr>
              <w:br w:type="textWrapping"/>
            </w:r>
            <w:r>
              <w:rPr>
                <w:rFonts w:hint="eastAsia" w:ascii="宋体" w:hAnsi="宋体" w:cs="宋体"/>
              </w:rPr>
              <w:t>二、产品规格与工艺要求:</w:t>
            </w:r>
            <w:r>
              <w:rPr>
                <w:rFonts w:hint="eastAsia" w:ascii="宋体" w:hAnsi="宋体" w:cs="宋体"/>
              </w:rPr>
              <w:br w:type="textWrapping"/>
            </w:r>
            <w:r>
              <w:rPr>
                <w:rFonts w:hint="eastAsia" w:ascii="宋体" w:hAnsi="宋体" w:cs="宋体"/>
              </w:rPr>
              <w:t>1.外型尺寸（长*宽*高）：≥1200mm×1100mm×1500mm</w:t>
            </w:r>
            <w:r>
              <w:rPr>
                <w:rFonts w:hint="eastAsia" w:ascii="宋体" w:hAnsi="宋体" w:cs="宋体"/>
              </w:rPr>
              <w:br w:type="textWrapping"/>
            </w:r>
            <w:r>
              <w:rPr>
                <w:rFonts w:hint="eastAsia" w:ascii="宋体" w:hAnsi="宋体" w:cs="宋体"/>
              </w:rPr>
              <w:t xml:space="preserve">2.工作电压：低压蓄电池电压DC12V    </w:t>
            </w:r>
            <w:r>
              <w:rPr>
                <w:rFonts w:hint="eastAsia" w:ascii="宋体" w:hAnsi="宋体" w:cs="宋体"/>
              </w:rPr>
              <w:br w:type="textWrapping"/>
            </w:r>
            <w:r>
              <w:rPr>
                <w:rFonts w:hint="eastAsia" w:ascii="宋体" w:hAnsi="宋体" w:cs="宋体"/>
              </w:rPr>
              <w:t>3.整体台架采用哑光黑色3mm厚ABS吸塑包裹工艺结构美观大方、有足够的机械强度，整体高度1050mm宽1406mm长560mm吸塑R角处可一保证最小厚度大于2mm。</w:t>
            </w:r>
            <w:r>
              <w:rPr>
                <w:rFonts w:hint="eastAsia" w:ascii="宋体" w:hAnsi="宋体" w:cs="宋体"/>
              </w:rPr>
              <w:br w:type="textWrapping"/>
            </w:r>
            <w:r>
              <w:rPr>
                <w:rFonts w:hint="eastAsia" w:ascii="宋体" w:hAnsi="宋体" w:cs="宋体"/>
              </w:rPr>
              <w:t>4.底座ABS吸塑罩盖长1406mm宽327mm高80mm，罩盖采用三面折弯包裹拔模角度为95°最大R角为10mm拔模角度为5°，罩盖上两侧设有凹型物料放置空间，两侧加装两个橙色L型ABS装饰条。</w:t>
            </w:r>
            <w:r>
              <w:rPr>
                <w:rFonts w:hint="eastAsia" w:ascii="宋体" w:hAnsi="宋体" w:cs="宋体"/>
              </w:rPr>
              <w:br w:type="textWrapping"/>
            </w:r>
            <w:r>
              <w:rPr>
                <w:rFonts w:hint="eastAsia" w:ascii="宋体" w:hAnsi="宋体" w:cs="宋体"/>
              </w:rPr>
              <w:t>5.台架后立柱使用组合式哑光黑色3mm厚ABS吸塑罩盖长600mm宽60mm高823mm配合间隙≥2mm，边角R115mm拔模角度为3°，边缘设有L型对接卡槽用于与前立柱结合，内部加装40mmX40mm方钢作为骨架，后吸塑罩盖设计为流线型长盖，立柱上部与下部的角度为88°，</w:t>
            </w:r>
            <w:r>
              <w:rPr>
                <w:rFonts w:hint="eastAsia" w:ascii="宋体" w:hAnsi="宋体" w:cs="宋体"/>
              </w:rPr>
              <w:br w:type="textWrapping"/>
            </w:r>
            <w:r>
              <w:rPr>
                <w:rFonts w:hint="eastAsia" w:ascii="宋体" w:hAnsi="宋体" w:cs="宋体"/>
              </w:rPr>
              <w:t>6.台架前立柱使用组合式哑光黑色3mm厚ABS吸塑罩长607mm宽160mm高772mm配合间隙≥2mm，边角R115mm拔模角度为3°，边缘设有L型对接卡槽用于与后立柱结合，前立柱罩盖中间位置设计有logo凹槽，logo槽外围配置7mm深艺术U型槽作为装饰，两侧配置橘黄色装饰条，前立柱底部设有口子型外设预留孔，可以安装制动踏板、油门踏板等机械装置。前吸塑立柱上部预留φ32mm把手安装孔，吸塑台架配置U字形台架拉手，拉手采用高强度钢管焊接而成把手外面包裹高仿耐磨皮革，皮革采用黑色高韧性尼龙线编花缝接。</w:t>
            </w:r>
            <w:r>
              <w:rPr>
                <w:rFonts w:hint="eastAsia" w:ascii="宋体" w:hAnsi="宋体" w:cs="宋体"/>
              </w:rPr>
              <w:br w:type="textWrapping"/>
            </w:r>
            <w:r>
              <w:rPr>
                <w:rFonts w:hint="eastAsia" w:ascii="宋体" w:hAnsi="宋体" w:cs="宋体"/>
              </w:rPr>
              <w:t>7.操控面板采用黑色哑光3mm厚ABS吸塑一次成型，外部尺寸长1200mm宽520mm高131mm，中间操控板安装位置尺寸长1086mm宽406mm，边角R为5mm拔模角度5°，吸塑操控面板上面边缘设有11mm高一字型流线装饰条纹凹凸别致美观大方。操控面板吸塑内部配置高强度钢骨架，用于与吸塑立柱连接并固定操控面板。</w:t>
            </w:r>
            <w:r>
              <w:rPr>
                <w:rFonts w:hint="eastAsia" w:ascii="宋体" w:hAnsi="宋体" w:cs="宋体"/>
              </w:rPr>
              <w:br w:type="textWrapping"/>
            </w:r>
            <w:r>
              <w:rPr>
                <w:rFonts w:hint="eastAsia" w:ascii="宋体" w:hAnsi="宋体" w:cs="宋体"/>
              </w:rPr>
              <w:t>8.多功能防护罩采用哑光黑色3mm厚ABS吸塑一次成型，长1350mm总宽100mm边缘宽度35mm高510mm，边角R10mm拔模角度为3°。多功能防护罩外型为金子塔样式，中加位置可放置logo，整体防护罩面用四个流线型骨架分为四个区域，下面区域为长35mm宽8mm蜂窝状通气孔，左侧和右侧区域为8mm宽渐变型长条通气孔。左右区域通气孔最上部设有6mm深凹槽可安装橙色装饰条。上部区域设有6mm深一字型流线槽用于增加机械强度和装饰。</w:t>
            </w:r>
            <w:r>
              <w:rPr>
                <w:rFonts w:hint="eastAsia" w:ascii="宋体" w:hAnsi="宋体" w:cs="宋体"/>
              </w:rPr>
              <w:br w:type="textWrapping"/>
            </w:r>
            <w:r>
              <w:rPr>
                <w:rFonts w:hint="eastAsia" w:ascii="宋体" w:hAnsi="宋体" w:cs="宋体"/>
              </w:rPr>
              <w:t>三、产品功能要求:</w:t>
            </w:r>
            <w:r>
              <w:rPr>
                <w:rFonts w:hint="eastAsia" w:ascii="宋体" w:hAnsi="宋体" w:cs="宋体"/>
              </w:rPr>
              <w:br w:type="textWrapping"/>
            </w:r>
            <w:r>
              <w:rPr>
                <w:rFonts w:hint="eastAsia" w:ascii="宋体" w:hAnsi="宋体" w:cs="宋体"/>
              </w:rPr>
              <w:t>1、部件展示功能：高压电池组护罩采用局部解剖使其内部的单体锂电池、电池检测模块、串轨等部件清晰可见。学生可直观了解电池包内部结构，有单体电池组成的电池组，由多个电池组串联组成电池包，了解电池包内部电池组的排列方式及产品加工工艺，电池检测模块有规律的装配高压电池组上，提取单体电池的充放电电压、充放电电流及充放电温度。</w:t>
            </w:r>
            <w:r>
              <w:rPr>
                <w:rFonts w:hint="eastAsia" w:ascii="宋体" w:hAnsi="宋体" w:cs="宋体"/>
              </w:rPr>
              <w:br w:type="textWrapping"/>
            </w:r>
            <w:r>
              <w:rPr>
                <w:rFonts w:hint="eastAsia" w:ascii="宋体" w:hAnsi="宋体" w:cs="宋体"/>
              </w:rPr>
              <w:t>2、检测功能：实训考核系统配有检测控制电路图面板，可以参照电路图，通过双向检测端子对各控制线及信号线进行数据参数提取，电压检测、电阻检测等快速完成检测。</w:t>
            </w:r>
            <w:r>
              <w:rPr>
                <w:rFonts w:hint="eastAsia" w:ascii="宋体" w:hAnsi="宋体" w:cs="宋体"/>
              </w:rPr>
              <w:br w:type="textWrapping"/>
            </w:r>
            <w:r>
              <w:rPr>
                <w:rFonts w:hint="eastAsia" w:ascii="宋体" w:hAnsi="宋体" w:cs="宋体"/>
              </w:rPr>
              <w:t>3、诊断仪检测，可以应用通用汽车诊断仪或专用诊断仪对动力电池管理系统进行检测。读取故障码、清除故障码及数据流应用。示波器检测，通过专用示波器及专用示波器对动力电池管理系统传输信号波形进行提取及分析。</w:t>
            </w:r>
            <w:r>
              <w:rPr>
                <w:rFonts w:hint="eastAsia" w:ascii="宋体" w:hAnsi="宋体" w:cs="宋体"/>
              </w:rPr>
              <w:br w:type="textWrapping"/>
            </w:r>
            <w:r>
              <w:rPr>
                <w:rFonts w:hint="eastAsia" w:ascii="宋体" w:hAnsi="宋体" w:cs="宋体"/>
              </w:rPr>
              <w:t>4、高压电安全控制功能：电池包中带有保险丝保障电池包充放电安全，电池包装有管理模块配合发动机动力输出源。</w:t>
            </w:r>
            <w:r>
              <w:rPr>
                <w:rFonts w:hint="eastAsia" w:ascii="宋体" w:hAnsi="宋体" w:cs="宋体"/>
              </w:rPr>
              <w:br w:type="textWrapping"/>
            </w:r>
            <w:r>
              <w:rPr>
                <w:rFonts w:hint="eastAsia" w:ascii="宋体" w:hAnsi="宋体" w:cs="宋体"/>
              </w:rPr>
              <w:t>5、实训考核系统上关键零部件有铭牌标注其名称，电池组上盖部分使用透明装置，方便教学。</w:t>
            </w:r>
            <w:r>
              <w:rPr>
                <w:rFonts w:hint="eastAsia" w:ascii="宋体" w:hAnsi="宋体" w:cs="宋体"/>
              </w:rPr>
              <w:br w:type="textWrapping"/>
            </w:r>
            <w:r>
              <w:rPr>
                <w:rFonts w:hint="eastAsia" w:ascii="宋体" w:hAnsi="宋体" w:cs="宋体"/>
              </w:rPr>
              <w:t>四、教学及实训项目:</w:t>
            </w:r>
            <w:r>
              <w:rPr>
                <w:rFonts w:hint="eastAsia" w:ascii="宋体" w:hAnsi="宋体" w:cs="宋体"/>
              </w:rPr>
              <w:br w:type="textWrapping"/>
            </w:r>
            <w:r>
              <w:rPr>
                <w:rFonts w:hint="eastAsia" w:ascii="宋体" w:hAnsi="宋体" w:cs="宋体"/>
              </w:rPr>
              <w:t>1、了解动力电池包的内部结构组成</w:t>
            </w:r>
            <w:r>
              <w:rPr>
                <w:rFonts w:hint="eastAsia" w:ascii="宋体" w:hAnsi="宋体" w:cs="宋体"/>
              </w:rPr>
              <w:br w:type="textWrapping"/>
            </w:r>
            <w:r>
              <w:rPr>
                <w:rFonts w:hint="eastAsia" w:ascii="宋体" w:hAnsi="宋体" w:cs="宋体"/>
              </w:rPr>
              <w:t>2、DC+和DC-主电源线的区分、拆装及电压检测</w:t>
            </w:r>
            <w:r>
              <w:rPr>
                <w:rFonts w:hint="eastAsia" w:ascii="宋体" w:hAnsi="宋体" w:cs="宋体"/>
              </w:rPr>
              <w:br w:type="textWrapping"/>
            </w:r>
            <w:r>
              <w:rPr>
                <w:rFonts w:hint="eastAsia" w:ascii="宋体" w:hAnsi="宋体" w:cs="宋体"/>
              </w:rPr>
              <w:t>3、电池管理控制系统控制器的位置、作用、控制内容、控制原理。</w:t>
            </w:r>
            <w:r>
              <w:rPr>
                <w:rFonts w:hint="eastAsia" w:ascii="宋体" w:hAnsi="宋体" w:cs="宋体"/>
              </w:rPr>
              <w:br w:type="textWrapping"/>
            </w:r>
            <w:r>
              <w:rPr>
                <w:rFonts w:hint="eastAsia" w:ascii="宋体" w:hAnsi="宋体" w:cs="宋体"/>
              </w:rPr>
              <w:t>4、掌握高压操作安全原理及操作方法</w:t>
            </w:r>
            <w:r>
              <w:rPr>
                <w:rFonts w:hint="eastAsia" w:ascii="宋体" w:hAnsi="宋体" w:cs="宋体"/>
              </w:rPr>
              <w:br w:type="textWrapping"/>
            </w:r>
            <w:r>
              <w:rPr>
                <w:rFonts w:hint="eastAsia" w:ascii="宋体" w:hAnsi="宋体" w:cs="宋体"/>
              </w:rPr>
              <w:t>5、掌握锂电池的特性，及方形封装电池的结构。</w:t>
            </w:r>
          </w:p>
        </w:tc>
        <w:tc>
          <w:tcPr>
            <w:tcW w:w="357" w:type="pct"/>
            <w:vAlign w:val="center"/>
          </w:tcPr>
          <w:p w14:paraId="6196A251">
            <w:pPr>
              <w:jc w:val="center"/>
              <w:rPr>
                <w:rFonts w:hint="eastAsia" w:ascii="宋体" w:hAnsi="宋体" w:cs="宋体"/>
                <w:szCs w:val="21"/>
              </w:rPr>
            </w:pPr>
            <w:r>
              <w:rPr>
                <w:rFonts w:hint="eastAsia" w:ascii="宋体" w:hAnsi="宋体" w:cs="宋体"/>
                <w:szCs w:val="21"/>
              </w:rPr>
              <w:t>1</w:t>
            </w:r>
          </w:p>
        </w:tc>
        <w:tc>
          <w:tcPr>
            <w:tcW w:w="341" w:type="pct"/>
            <w:vAlign w:val="center"/>
          </w:tcPr>
          <w:p w14:paraId="6ADDF502">
            <w:pPr>
              <w:jc w:val="center"/>
              <w:rPr>
                <w:rFonts w:hint="eastAsia" w:ascii="宋体" w:hAnsi="宋体" w:cs="宋体"/>
                <w:szCs w:val="21"/>
              </w:rPr>
            </w:pPr>
          </w:p>
          <w:p w14:paraId="600D4A08">
            <w:pPr>
              <w:jc w:val="center"/>
              <w:rPr>
                <w:rFonts w:hint="eastAsia" w:ascii="宋体" w:hAnsi="宋体" w:cs="宋体"/>
                <w:szCs w:val="21"/>
              </w:rPr>
            </w:pPr>
          </w:p>
          <w:p w14:paraId="78DDFBEE">
            <w:pPr>
              <w:jc w:val="center"/>
              <w:rPr>
                <w:rFonts w:hint="eastAsia" w:ascii="宋体" w:hAnsi="宋体" w:cs="宋体"/>
                <w:szCs w:val="21"/>
              </w:rPr>
            </w:pPr>
          </w:p>
          <w:p w14:paraId="7716D04B">
            <w:pPr>
              <w:jc w:val="center"/>
              <w:rPr>
                <w:rFonts w:hint="eastAsia" w:ascii="宋体" w:hAnsi="宋体" w:cs="宋体"/>
                <w:szCs w:val="21"/>
              </w:rPr>
            </w:pPr>
          </w:p>
          <w:p w14:paraId="4141D0BF">
            <w:pPr>
              <w:jc w:val="center"/>
              <w:rPr>
                <w:rFonts w:hint="eastAsia" w:ascii="宋体" w:hAnsi="宋体" w:cs="宋体"/>
                <w:szCs w:val="21"/>
              </w:rPr>
            </w:pPr>
          </w:p>
          <w:p w14:paraId="14F200D6">
            <w:pPr>
              <w:jc w:val="center"/>
              <w:rPr>
                <w:rFonts w:hint="eastAsia" w:ascii="宋体" w:hAnsi="宋体" w:cs="宋体"/>
                <w:szCs w:val="21"/>
              </w:rPr>
            </w:pPr>
          </w:p>
          <w:p w14:paraId="2316D63B">
            <w:pPr>
              <w:jc w:val="center"/>
              <w:rPr>
                <w:rFonts w:hint="eastAsia" w:ascii="宋体" w:hAnsi="宋体" w:cs="宋体"/>
                <w:szCs w:val="21"/>
              </w:rPr>
            </w:pPr>
          </w:p>
          <w:p w14:paraId="3E2549A9">
            <w:pPr>
              <w:jc w:val="center"/>
              <w:rPr>
                <w:rFonts w:hint="eastAsia" w:ascii="宋体" w:hAnsi="宋体" w:cs="宋体"/>
                <w:szCs w:val="21"/>
              </w:rPr>
            </w:pPr>
            <w:r>
              <w:rPr>
                <w:rFonts w:hint="eastAsia" w:ascii="宋体" w:hAnsi="宋体" w:cs="宋体"/>
                <w:szCs w:val="21"/>
              </w:rPr>
              <w:t>套</w:t>
            </w:r>
          </w:p>
          <w:p w14:paraId="3787A306">
            <w:pPr>
              <w:jc w:val="center"/>
              <w:rPr>
                <w:rFonts w:hint="eastAsia" w:ascii="宋体" w:hAnsi="宋体" w:cs="宋体"/>
                <w:szCs w:val="21"/>
              </w:rPr>
            </w:pPr>
          </w:p>
          <w:p w14:paraId="6985F3B8">
            <w:pPr>
              <w:jc w:val="center"/>
              <w:rPr>
                <w:rFonts w:hint="eastAsia" w:ascii="宋体" w:hAnsi="宋体" w:cs="宋体"/>
                <w:szCs w:val="21"/>
              </w:rPr>
            </w:pPr>
          </w:p>
          <w:p w14:paraId="52E3D22E">
            <w:pPr>
              <w:jc w:val="center"/>
              <w:rPr>
                <w:rFonts w:hint="eastAsia" w:ascii="宋体" w:hAnsi="宋体" w:cs="宋体"/>
                <w:szCs w:val="21"/>
              </w:rPr>
            </w:pPr>
          </w:p>
          <w:p w14:paraId="0902FD9D">
            <w:pPr>
              <w:jc w:val="center"/>
              <w:rPr>
                <w:rFonts w:hint="eastAsia" w:ascii="宋体" w:hAnsi="宋体" w:cs="宋体"/>
                <w:szCs w:val="21"/>
              </w:rPr>
            </w:pPr>
          </w:p>
          <w:p w14:paraId="52C82DC6">
            <w:pPr>
              <w:jc w:val="center"/>
              <w:rPr>
                <w:rFonts w:hint="eastAsia" w:ascii="宋体" w:hAnsi="宋体" w:cs="宋体"/>
                <w:szCs w:val="21"/>
              </w:rPr>
            </w:pPr>
          </w:p>
          <w:p w14:paraId="6490F88B">
            <w:pPr>
              <w:jc w:val="center"/>
              <w:rPr>
                <w:rFonts w:hint="eastAsia" w:ascii="宋体" w:hAnsi="宋体" w:cs="宋体"/>
                <w:szCs w:val="21"/>
              </w:rPr>
            </w:pPr>
          </w:p>
          <w:p w14:paraId="289BD0C0">
            <w:pPr>
              <w:jc w:val="center"/>
              <w:rPr>
                <w:rFonts w:hint="eastAsia" w:ascii="宋体" w:hAnsi="宋体" w:cs="宋体"/>
                <w:szCs w:val="21"/>
              </w:rPr>
            </w:pPr>
          </w:p>
        </w:tc>
      </w:tr>
      <w:tr w14:paraId="736EE0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trHeight w:val="695" w:hRule="atLeast"/>
        </w:trPr>
        <w:tc>
          <w:tcPr>
            <w:tcW w:w="193" w:type="pct"/>
            <w:vAlign w:val="center"/>
          </w:tcPr>
          <w:p w14:paraId="41F64333">
            <w:pPr>
              <w:jc w:val="center"/>
              <w:rPr>
                <w:rFonts w:hint="eastAsia" w:ascii="宋体" w:hAnsi="宋体" w:cs="宋体"/>
                <w:b/>
                <w:bCs/>
                <w:szCs w:val="21"/>
              </w:rPr>
            </w:pPr>
            <w:r>
              <w:rPr>
                <w:rFonts w:hint="eastAsia" w:ascii="宋体" w:hAnsi="宋体" w:cs="宋体"/>
                <w:szCs w:val="21"/>
              </w:rPr>
              <w:t>23</w:t>
            </w:r>
          </w:p>
        </w:tc>
        <w:tc>
          <w:tcPr>
            <w:tcW w:w="536" w:type="pct"/>
            <w:vAlign w:val="center"/>
          </w:tcPr>
          <w:p w14:paraId="1F7CD777">
            <w:pPr>
              <w:pStyle w:val="80"/>
              <w:jc w:val="center"/>
              <w:rPr>
                <w:rFonts w:hint="eastAsia" w:ascii="宋体" w:hAnsi="宋体" w:cs="宋体"/>
              </w:rPr>
            </w:pPr>
            <w:r>
              <w:rPr>
                <w:rFonts w:hint="eastAsia" w:ascii="宋体" w:hAnsi="宋体" w:cs="宋体"/>
              </w:rPr>
              <w:t>插电式混合动力汽车电动转向实训教学系统</w:t>
            </w:r>
          </w:p>
        </w:tc>
        <w:tc>
          <w:tcPr>
            <w:tcW w:w="3571" w:type="pct"/>
            <w:vAlign w:val="center"/>
          </w:tcPr>
          <w:p w14:paraId="1362C534">
            <w:pPr>
              <w:pStyle w:val="80"/>
              <w:ind w:left="105" w:leftChars="50"/>
              <w:jc w:val="left"/>
              <w:rPr>
                <w:rFonts w:hint="eastAsia" w:ascii="宋体" w:hAnsi="宋体" w:cs="宋体"/>
              </w:rPr>
            </w:pPr>
            <w:r>
              <w:rPr>
                <w:rFonts w:hint="eastAsia" w:ascii="宋体" w:hAnsi="宋体" w:cs="宋体"/>
              </w:rPr>
              <w:t>一、产品组成要求:</w:t>
            </w:r>
            <w:r>
              <w:rPr>
                <w:rFonts w:hint="eastAsia" w:ascii="宋体" w:hAnsi="宋体" w:cs="宋体"/>
              </w:rPr>
              <w:br w:type="textWrapping"/>
            </w:r>
            <w:r>
              <w:rPr>
                <w:rFonts w:hint="eastAsia" w:ascii="宋体" w:hAnsi="宋体" w:cs="宋体"/>
              </w:rPr>
              <w:t>控制部分：转向助力系统电子控制单元</w:t>
            </w:r>
            <w:r>
              <w:rPr>
                <w:rFonts w:hint="eastAsia" w:ascii="宋体" w:hAnsi="宋体" w:cs="宋体"/>
              </w:rPr>
              <w:br w:type="textWrapping"/>
            </w:r>
            <w:r>
              <w:rPr>
                <w:rFonts w:hint="eastAsia" w:ascii="宋体" w:hAnsi="宋体" w:cs="宋体"/>
              </w:rPr>
              <w:t>硬件部分：控制电机、电子助力转向机、转向管柱、方向盘、左前悬挂、右前悬挂、车轮总成、元宝梁、转角盘。</w:t>
            </w:r>
            <w:r>
              <w:rPr>
                <w:rFonts w:hint="eastAsia" w:ascii="宋体" w:hAnsi="宋体" w:cs="宋体"/>
              </w:rPr>
              <w:br w:type="textWrapping"/>
            </w:r>
            <w:r>
              <w:rPr>
                <w:rFonts w:hint="eastAsia" w:ascii="宋体" w:hAnsi="宋体" w:cs="宋体"/>
              </w:rPr>
              <w:t>检测与应用：电路图面板、双向检测端子</w:t>
            </w:r>
            <w:r>
              <w:rPr>
                <w:rFonts w:hint="eastAsia" w:ascii="宋体" w:hAnsi="宋体" w:cs="宋体"/>
              </w:rPr>
              <w:br w:type="textWrapping"/>
            </w:r>
            <w:r>
              <w:rPr>
                <w:rFonts w:hint="eastAsia" w:ascii="宋体" w:hAnsi="宋体" w:cs="宋体"/>
              </w:rPr>
              <w:t>二、产品规格与工艺要求:</w:t>
            </w:r>
            <w:r>
              <w:rPr>
                <w:rFonts w:hint="eastAsia" w:ascii="宋体" w:hAnsi="宋体" w:cs="宋体"/>
              </w:rPr>
              <w:br w:type="textWrapping"/>
            </w:r>
            <w:r>
              <w:rPr>
                <w:rFonts w:hint="eastAsia" w:ascii="宋体" w:hAnsi="宋体" w:cs="宋体"/>
              </w:rPr>
              <w:t>1、外形尺寸（长*宽*高）：（1310mm-1330mm）×（2000mm-2010mm）×（1300mm-1310mm）</w:t>
            </w:r>
            <w:r>
              <w:rPr>
                <w:rFonts w:hint="eastAsia" w:ascii="宋体" w:hAnsi="宋体" w:cs="宋体"/>
              </w:rPr>
              <w:br w:type="textWrapping"/>
            </w:r>
            <w:r>
              <w:rPr>
                <w:rFonts w:hint="eastAsia" w:ascii="宋体" w:hAnsi="宋体" w:cs="宋体"/>
              </w:rPr>
              <w:t>2、工作电压：DC 12V</w:t>
            </w:r>
            <w:r>
              <w:rPr>
                <w:rFonts w:hint="eastAsia" w:ascii="宋体" w:hAnsi="宋体" w:cs="宋体"/>
              </w:rPr>
              <w:br w:type="textWrapping"/>
            </w:r>
            <w:r>
              <w:rPr>
                <w:rFonts w:hint="eastAsia" w:ascii="宋体" w:hAnsi="宋体" w:cs="宋体"/>
              </w:rPr>
              <w:t>3、实训考核系统整体结构美观大方，耐油耐腐蚀，便于清洁。操作面板、立柱、底座采用模块化设计，模具一体成型高强度ABS吸塑外观，内部钢结构支架坚固耐用，电子原器件接线位于立柱等封闭空间内，整机具备安全性与可靠性。</w:t>
            </w:r>
            <w:r>
              <w:rPr>
                <w:rFonts w:hint="eastAsia" w:ascii="宋体" w:hAnsi="宋体" w:cs="宋体"/>
              </w:rPr>
              <w:br w:type="textWrapping"/>
            </w:r>
            <w:r>
              <w:rPr>
                <w:rFonts w:hint="eastAsia" w:ascii="宋体" w:hAnsi="宋体" w:cs="宋体"/>
              </w:rPr>
              <w:t>4、整体台架采用哑光黑色3mm厚ABS吸塑包裹工艺结构美观大方、有足够的机械强度，整体高度1050mm宽1406mm长560mm吸塑R角处可一保证最小厚度大于2mm。</w:t>
            </w:r>
            <w:r>
              <w:rPr>
                <w:rFonts w:hint="eastAsia" w:ascii="宋体" w:hAnsi="宋体" w:cs="宋体"/>
              </w:rPr>
              <w:br w:type="textWrapping"/>
            </w:r>
            <w:r>
              <w:rPr>
                <w:rFonts w:hint="eastAsia" w:ascii="宋体" w:hAnsi="宋体" w:cs="宋体"/>
              </w:rPr>
              <w:t>5、底座ABS吸塑罩盖长1406mm宽327mm高80mm，罩盖采用三面折弯包裹拔模角度为95°最大R角为10mm拔模角度为5°，罩盖上两侧设有凹型物料放置空间，两侧加装两个橙色L型ABS装饰条。</w:t>
            </w:r>
            <w:r>
              <w:rPr>
                <w:rFonts w:hint="eastAsia" w:ascii="宋体" w:hAnsi="宋体" w:cs="宋体"/>
              </w:rPr>
              <w:br w:type="textWrapping"/>
            </w:r>
            <w:r>
              <w:rPr>
                <w:rFonts w:hint="eastAsia" w:ascii="宋体" w:hAnsi="宋体" w:cs="宋体"/>
              </w:rPr>
              <w:t>6、台架后立柱使用组合式哑光黑色3mm厚ABS吸塑罩盖长600mm宽60mm高823mm配合间隙≥2mm，边角R115mm拔模角度为3°，边缘设有L型对接卡槽用于与前立柱结合，内部加装40mmX40mm方钢作为骨架，后吸塑罩盖设计为流线型长盖，立柱上部与下部的角度为88°，</w:t>
            </w:r>
            <w:r>
              <w:rPr>
                <w:rFonts w:hint="eastAsia" w:ascii="宋体" w:hAnsi="宋体" w:cs="宋体"/>
              </w:rPr>
              <w:br w:type="textWrapping"/>
            </w:r>
            <w:r>
              <w:rPr>
                <w:rFonts w:hint="eastAsia" w:ascii="宋体" w:hAnsi="宋体" w:cs="宋体"/>
              </w:rPr>
              <w:t>7、台架前立柱使用组合式哑光黑色3mm厚ABS吸塑罩长607mm宽160mm高772mm配合间隙≥2mm，边角R115mm拔模角度为3°，边缘设有L型对接卡槽用于与后立柱结合，前立柱罩盖中间位置设计有logo凹槽，logo槽外围配置7mm深艺术U型槽作为装饰，两侧配置橘黄色装饰条，前立柱底部设有口子型外设预留孔，可以安装制动踏板、油门踏板等机械装置。前吸塑立柱上部预留φ32mm把手安装孔，吸塑台架配置U字形台架拉手，拉手采用高强度钢管焊接而成把手外面包裹高仿耐磨皮革，皮革采用黑色高韧性尼龙线编花缝接。</w:t>
            </w:r>
            <w:r>
              <w:rPr>
                <w:rFonts w:hint="eastAsia" w:ascii="宋体" w:hAnsi="宋体" w:cs="宋体"/>
              </w:rPr>
              <w:br w:type="textWrapping"/>
            </w:r>
            <w:r>
              <w:rPr>
                <w:rFonts w:hint="eastAsia" w:ascii="宋体" w:hAnsi="宋体" w:cs="宋体"/>
              </w:rPr>
              <w:t>8、操控面板采用黑色哑光3mm厚ABS吸塑一次成型，外部尺寸长1200mm宽520mm高131mm，中间操控板安装位置尺寸长1086mm宽406mm，边角R为5mm拔模角度5°，吸塑操控面板上面边缘设有11mm高一字型流线装饰条纹凹凸别致美观大方。操控面板吸塑内部配置高强度钢骨架，用于与吸塑立柱连接并固定操控面板。</w:t>
            </w:r>
            <w:r>
              <w:rPr>
                <w:rFonts w:hint="eastAsia" w:ascii="宋体" w:hAnsi="宋体" w:cs="宋体"/>
              </w:rPr>
              <w:br w:type="textWrapping"/>
            </w:r>
            <w:r>
              <w:rPr>
                <w:rFonts w:hint="eastAsia" w:ascii="宋体" w:hAnsi="宋体" w:cs="宋体"/>
              </w:rPr>
              <w:t>9、多功能防护罩采用哑光黑色3mm厚ABS吸塑一次成型，长1350mm总宽100mm边缘宽度35mm高510mm，边角R10mm拔模角度为3°。多功能防护罩外型为金子塔样式，中加位置可放置logo，整体防护罩面用四个流线型骨架分为四个区域，下面区域为长35mm宽8mm蜂窝状通气孔，左侧和右侧区域为8mm宽渐变型长条通气孔。左右区域通气孔最上部设有6mm深凹槽可安装橙色装饰条。上部区域设有6mm深一字型流线槽用于增加机械强度和装饰。</w:t>
            </w:r>
            <w:r>
              <w:rPr>
                <w:rFonts w:hint="eastAsia" w:ascii="宋体" w:hAnsi="宋体" w:cs="宋体"/>
              </w:rPr>
              <w:br w:type="textWrapping"/>
            </w:r>
            <w:r>
              <w:rPr>
                <w:rFonts w:hint="eastAsia" w:ascii="宋体" w:hAnsi="宋体" w:cs="宋体"/>
              </w:rPr>
              <w:t>三、产品功能要求:</w:t>
            </w:r>
            <w:r>
              <w:rPr>
                <w:rFonts w:hint="eastAsia" w:ascii="宋体" w:hAnsi="宋体" w:cs="宋体"/>
              </w:rPr>
              <w:br w:type="textWrapping"/>
            </w:r>
            <w:r>
              <w:rPr>
                <w:rFonts w:hint="eastAsia" w:ascii="宋体" w:hAnsi="宋体" w:cs="宋体"/>
              </w:rPr>
              <w:t>1、展示功能：电动汽车车型的EPS电子助力转向系统的组成所有元件取下，合理的摆放在铝型材的台架上，部件清晰可见，即方便对部件认识有方便检测。</w:t>
            </w:r>
            <w:r>
              <w:rPr>
                <w:rFonts w:hint="eastAsia" w:ascii="宋体" w:hAnsi="宋体" w:cs="宋体"/>
              </w:rPr>
              <w:br w:type="textWrapping"/>
            </w:r>
            <w:r>
              <w:rPr>
                <w:rFonts w:hint="eastAsia" w:ascii="宋体" w:hAnsi="宋体" w:cs="宋体"/>
              </w:rPr>
              <w:t>2、动态展示：本设备可以运行，能够实现原车的功能。</w:t>
            </w:r>
            <w:r>
              <w:rPr>
                <w:rFonts w:hint="eastAsia" w:ascii="宋体" w:hAnsi="宋体" w:cs="宋体"/>
              </w:rPr>
              <w:br w:type="textWrapping"/>
            </w:r>
            <w:r>
              <w:rPr>
                <w:rFonts w:hint="eastAsia" w:ascii="宋体" w:hAnsi="宋体" w:cs="宋体"/>
              </w:rPr>
              <w:t>3、工作原理分析：面板上的原理示意图，充分展现了转向系统的结构和工作过程。</w:t>
            </w:r>
            <w:r>
              <w:rPr>
                <w:rFonts w:hint="eastAsia" w:ascii="宋体" w:hAnsi="宋体" w:cs="宋体"/>
              </w:rPr>
              <w:br w:type="textWrapping"/>
            </w:r>
            <w:r>
              <w:rPr>
                <w:rFonts w:hint="eastAsia" w:ascii="宋体" w:hAnsi="宋体" w:cs="宋体"/>
              </w:rPr>
              <w:t>4、检测功能：控制面板上有原车的彩色喷绘电路图，在电路图的连线上安装有双向检测端子，可以对照电路图进行转向系统各个引脚数据的提取。</w:t>
            </w:r>
            <w:r>
              <w:rPr>
                <w:rFonts w:hint="eastAsia" w:ascii="宋体" w:hAnsi="宋体" w:cs="宋体"/>
              </w:rPr>
              <w:br w:type="textWrapping"/>
            </w:r>
            <w:r>
              <w:rPr>
                <w:rFonts w:hint="eastAsia" w:ascii="宋体" w:hAnsi="宋体" w:cs="宋体"/>
              </w:rPr>
              <w:t>5、诊断功能：通过原车诊断插口，可以对转向系统进行诊断。项目为：读取控制单元版本信息、读取故障码、清除故障码、数据流。同时本实训设备支持示波器的波形提取。</w:t>
            </w:r>
            <w:r>
              <w:rPr>
                <w:rFonts w:hint="eastAsia" w:ascii="宋体" w:hAnsi="宋体" w:cs="宋体"/>
              </w:rPr>
              <w:br w:type="textWrapping"/>
            </w:r>
            <w:r>
              <w:rPr>
                <w:rFonts w:hint="eastAsia" w:ascii="宋体" w:hAnsi="宋体" w:cs="宋体"/>
              </w:rPr>
              <w:t>6、能与电动汽车电池管理实训考核系统、电动汽车驱动电机实训考核系统、电动汽车主控制器实训考核系统、电动汽车空调实训考核系统和电动汽车车身电器实训考核系统配套使用。</w:t>
            </w:r>
            <w:r>
              <w:rPr>
                <w:rFonts w:hint="eastAsia" w:ascii="宋体" w:hAnsi="宋体" w:cs="宋体"/>
              </w:rPr>
              <w:br w:type="textWrapping"/>
            </w:r>
            <w:r>
              <w:rPr>
                <w:rFonts w:hint="eastAsia" w:ascii="宋体" w:hAnsi="宋体" w:cs="宋体"/>
              </w:rPr>
              <w:t>四、教学及实训项目：</w:t>
            </w:r>
            <w:r>
              <w:rPr>
                <w:rFonts w:hint="eastAsia" w:ascii="宋体" w:hAnsi="宋体" w:cs="宋体"/>
              </w:rPr>
              <w:br w:type="textWrapping"/>
            </w:r>
            <w:r>
              <w:rPr>
                <w:rFonts w:hint="eastAsia" w:ascii="宋体" w:hAnsi="宋体" w:cs="宋体"/>
              </w:rPr>
              <w:t>1、电动汽车车型的电子助力转向系统原件认知</w:t>
            </w:r>
            <w:r>
              <w:rPr>
                <w:rFonts w:hint="eastAsia" w:ascii="宋体" w:hAnsi="宋体" w:cs="宋体"/>
              </w:rPr>
              <w:br w:type="textWrapping"/>
            </w:r>
            <w:r>
              <w:rPr>
                <w:rFonts w:hint="eastAsia" w:ascii="宋体" w:hAnsi="宋体" w:cs="宋体"/>
              </w:rPr>
              <w:t>2、电动汽车电子助力转向系统转向机结构及工作原理</w:t>
            </w:r>
            <w:r>
              <w:rPr>
                <w:rFonts w:hint="eastAsia" w:ascii="宋体" w:hAnsi="宋体" w:cs="宋体"/>
              </w:rPr>
              <w:br w:type="textWrapping"/>
            </w:r>
            <w:r>
              <w:rPr>
                <w:rFonts w:hint="eastAsia" w:ascii="宋体" w:hAnsi="宋体" w:cs="宋体"/>
              </w:rPr>
              <w:t>3、电动汽车电子助力转向系统转向助力控制工作原理</w:t>
            </w:r>
            <w:r>
              <w:rPr>
                <w:rFonts w:hint="eastAsia" w:ascii="宋体" w:hAnsi="宋体" w:cs="宋体"/>
              </w:rPr>
              <w:br w:type="textWrapping"/>
            </w:r>
            <w:r>
              <w:rPr>
                <w:rFonts w:hint="eastAsia" w:ascii="宋体" w:hAnsi="宋体" w:cs="宋体"/>
              </w:rPr>
              <w:t>4、电动汽车电子助力转向系统扭力传感器结构及工作原理</w:t>
            </w:r>
            <w:r>
              <w:rPr>
                <w:rFonts w:hint="eastAsia" w:ascii="宋体" w:hAnsi="宋体" w:cs="宋体"/>
              </w:rPr>
              <w:br w:type="textWrapping"/>
            </w:r>
            <w:r>
              <w:rPr>
                <w:rFonts w:hint="eastAsia" w:ascii="宋体" w:hAnsi="宋体" w:cs="宋体"/>
              </w:rPr>
              <w:t>5、电动汽车电子助力转向系统线路检测</w:t>
            </w:r>
            <w:r>
              <w:rPr>
                <w:rFonts w:hint="eastAsia" w:ascii="宋体" w:hAnsi="宋体" w:cs="宋体"/>
              </w:rPr>
              <w:br w:type="textWrapping"/>
            </w:r>
            <w:r>
              <w:rPr>
                <w:rFonts w:hint="eastAsia" w:ascii="宋体" w:hAnsi="宋体" w:cs="宋体"/>
              </w:rPr>
              <w:t>6、电动汽车电子助力转向系统诊断仪检测</w:t>
            </w:r>
            <w:r>
              <w:rPr>
                <w:rFonts w:hint="eastAsia" w:ascii="宋体" w:hAnsi="宋体" w:cs="宋体"/>
              </w:rPr>
              <w:br w:type="textWrapping"/>
            </w:r>
            <w:r>
              <w:rPr>
                <w:rFonts w:hint="eastAsia" w:ascii="宋体" w:hAnsi="宋体" w:cs="宋体"/>
              </w:rPr>
              <w:t>7、电动汽车电子转向系统数据分析</w:t>
            </w:r>
            <w:r>
              <w:rPr>
                <w:rFonts w:hint="eastAsia" w:ascii="宋体" w:hAnsi="宋体" w:cs="宋体"/>
              </w:rPr>
              <w:br w:type="textWrapping"/>
            </w:r>
            <w:r>
              <w:rPr>
                <w:rFonts w:hint="eastAsia" w:ascii="宋体" w:hAnsi="宋体" w:cs="宋体"/>
              </w:rPr>
              <w:t>8、电动汽车电子转向系统故障检测</w:t>
            </w:r>
            <w:r>
              <w:rPr>
                <w:rFonts w:hint="eastAsia" w:ascii="宋体" w:hAnsi="宋体" w:cs="宋体"/>
              </w:rPr>
              <w:br w:type="textWrapping"/>
            </w:r>
            <w:r>
              <w:rPr>
                <w:rFonts w:hint="eastAsia" w:ascii="宋体" w:hAnsi="宋体" w:cs="宋体"/>
              </w:rPr>
              <w:t>9、电动汽车电子转向系统故障分析</w:t>
            </w:r>
            <w:r>
              <w:rPr>
                <w:rFonts w:hint="eastAsia" w:ascii="宋体" w:hAnsi="宋体" w:cs="宋体"/>
              </w:rPr>
              <w:br w:type="textWrapping"/>
            </w:r>
            <w:r>
              <w:rPr>
                <w:rFonts w:hint="eastAsia" w:ascii="宋体" w:hAnsi="宋体" w:cs="宋体"/>
              </w:rPr>
              <w:t>10、有助力转向与无助力转向的操作区别</w:t>
            </w:r>
          </w:p>
        </w:tc>
        <w:tc>
          <w:tcPr>
            <w:tcW w:w="357" w:type="pct"/>
            <w:vAlign w:val="center"/>
          </w:tcPr>
          <w:p w14:paraId="4F340E9E">
            <w:pPr>
              <w:jc w:val="center"/>
              <w:rPr>
                <w:rFonts w:hint="eastAsia" w:ascii="宋体" w:hAnsi="宋体" w:cs="宋体"/>
                <w:szCs w:val="21"/>
              </w:rPr>
            </w:pPr>
            <w:r>
              <w:rPr>
                <w:rFonts w:hint="eastAsia" w:ascii="宋体" w:hAnsi="宋体" w:cs="宋体"/>
                <w:szCs w:val="21"/>
              </w:rPr>
              <w:t>1</w:t>
            </w:r>
          </w:p>
        </w:tc>
        <w:tc>
          <w:tcPr>
            <w:tcW w:w="341" w:type="pct"/>
            <w:vAlign w:val="center"/>
          </w:tcPr>
          <w:p w14:paraId="1B219C1E">
            <w:pPr>
              <w:jc w:val="center"/>
              <w:rPr>
                <w:rFonts w:hint="eastAsia" w:ascii="宋体" w:hAnsi="宋体" w:cs="宋体"/>
                <w:szCs w:val="21"/>
              </w:rPr>
            </w:pPr>
            <w:r>
              <w:rPr>
                <w:rFonts w:hint="eastAsia" w:ascii="宋体" w:hAnsi="宋体" w:cs="宋体"/>
                <w:szCs w:val="21"/>
              </w:rPr>
              <w:t>套</w:t>
            </w:r>
          </w:p>
        </w:tc>
      </w:tr>
      <w:tr w14:paraId="015AC3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trHeight w:val="695" w:hRule="atLeast"/>
        </w:trPr>
        <w:tc>
          <w:tcPr>
            <w:tcW w:w="193" w:type="pct"/>
            <w:vAlign w:val="center"/>
          </w:tcPr>
          <w:p w14:paraId="7FB1D668">
            <w:pPr>
              <w:jc w:val="center"/>
              <w:rPr>
                <w:rFonts w:hint="eastAsia" w:ascii="宋体" w:hAnsi="宋体" w:cs="宋体"/>
                <w:b/>
                <w:bCs/>
                <w:szCs w:val="21"/>
              </w:rPr>
            </w:pPr>
            <w:r>
              <w:rPr>
                <w:rFonts w:hint="eastAsia" w:ascii="宋体" w:hAnsi="宋体" w:cs="宋体"/>
                <w:szCs w:val="21"/>
              </w:rPr>
              <w:t>24</w:t>
            </w:r>
          </w:p>
        </w:tc>
        <w:tc>
          <w:tcPr>
            <w:tcW w:w="536" w:type="pct"/>
            <w:vAlign w:val="center"/>
          </w:tcPr>
          <w:p w14:paraId="647B42E6">
            <w:pPr>
              <w:pStyle w:val="80"/>
              <w:jc w:val="center"/>
              <w:rPr>
                <w:rFonts w:hint="eastAsia" w:ascii="宋体" w:hAnsi="宋体" w:cs="宋体"/>
              </w:rPr>
            </w:pPr>
            <w:r>
              <w:rPr>
                <w:rFonts w:hint="eastAsia" w:ascii="宋体" w:hAnsi="宋体" w:cs="宋体"/>
              </w:rPr>
              <w:t>插电式混合动力汽车驱动电机控制实训教学系统</w:t>
            </w:r>
          </w:p>
        </w:tc>
        <w:tc>
          <w:tcPr>
            <w:tcW w:w="3571" w:type="pct"/>
            <w:vAlign w:val="center"/>
          </w:tcPr>
          <w:p w14:paraId="67C259C7">
            <w:pPr>
              <w:pStyle w:val="80"/>
              <w:ind w:left="105" w:leftChars="50"/>
              <w:jc w:val="left"/>
              <w:rPr>
                <w:rFonts w:hint="eastAsia" w:ascii="宋体" w:hAnsi="宋体" w:cs="宋体"/>
              </w:rPr>
            </w:pPr>
            <w:r>
              <w:rPr>
                <w:rFonts w:hint="eastAsia" w:ascii="宋体" w:hAnsi="宋体" w:cs="宋体"/>
              </w:rPr>
              <w:t>一、产品组成要求:</w:t>
            </w:r>
            <w:r>
              <w:rPr>
                <w:rFonts w:hint="eastAsia" w:ascii="宋体" w:hAnsi="宋体" w:cs="宋体"/>
              </w:rPr>
              <w:br w:type="textWrapping"/>
            </w:r>
            <w:r>
              <w:rPr>
                <w:rFonts w:hint="eastAsia" w:ascii="宋体" w:hAnsi="宋体" w:cs="宋体"/>
              </w:rPr>
              <w:t>1、采用涡轮增压发动机、最大功率≥110Kw、最大扭矩≥250N.m、最大马力≥150Ps配置6挡湿式双离合变速箱。</w:t>
            </w:r>
            <w:r>
              <w:rPr>
                <w:rFonts w:hint="eastAsia" w:ascii="宋体" w:hAnsi="宋体" w:cs="宋体"/>
              </w:rPr>
              <w:br w:type="textWrapping"/>
            </w:r>
            <w:r>
              <w:rPr>
                <w:rFonts w:hint="eastAsia" w:ascii="宋体" w:hAnsi="宋体" w:cs="宋体"/>
              </w:rPr>
              <w:t>2、采用电动机总功率≥85kW、电动机总扭矩≥330N.m的永磁同步电机及旋转变压器、减速变速器、半轴及驱动轮等组成系统。</w:t>
            </w:r>
            <w:r>
              <w:rPr>
                <w:rFonts w:hint="eastAsia" w:ascii="宋体" w:hAnsi="宋体" w:cs="宋体"/>
              </w:rPr>
              <w:br w:type="textWrapping"/>
            </w:r>
            <w:r>
              <w:rPr>
                <w:rFonts w:hint="eastAsia" w:ascii="宋体" w:hAnsi="宋体" w:cs="宋体"/>
              </w:rPr>
              <w:t>3、制动系统：制动总泵、ESP电子控制单元、制动分泵等。</w:t>
            </w:r>
            <w:r>
              <w:rPr>
                <w:rFonts w:hint="eastAsia" w:ascii="宋体" w:hAnsi="宋体" w:cs="宋体"/>
              </w:rPr>
              <w:br w:type="textWrapping"/>
            </w:r>
            <w:r>
              <w:rPr>
                <w:rFonts w:hint="eastAsia" w:ascii="宋体" w:hAnsi="宋体" w:cs="宋体"/>
              </w:rPr>
              <w:t>4、电机驱动系统传感器部分：档位传感器、P档开关、油门控制装置、制动开关、制动踏板深度传感器点火开关、组合仪表等。</w:t>
            </w:r>
            <w:r>
              <w:rPr>
                <w:rFonts w:hint="eastAsia" w:ascii="宋体" w:hAnsi="宋体" w:cs="宋体"/>
              </w:rPr>
              <w:br w:type="textWrapping"/>
            </w:r>
            <w:r>
              <w:rPr>
                <w:rFonts w:hint="eastAsia" w:ascii="宋体" w:hAnsi="宋体" w:cs="宋体"/>
              </w:rPr>
              <w:t>5、控制面板部分：电路图版、双向检测端子。</w:t>
            </w:r>
            <w:r>
              <w:rPr>
                <w:rFonts w:hint="eastAsia" w:ascii="宋体" w:hAnsi="宋体" w:cs="宋体"/>
              </w:rPr>
              <w:br w:type="textWrapping"/>
            </w:r>
            <w:r>
              <w:rPr>
                <w:rFonts w:hint="eastAsia" w:ascii="宋体" w:hAnsi="宋体" w:cs="宋体"/>
              </w:rPr>
              <w:t>6、配置网络在线考试系统：</w:t>
            </w:r>
            <w:r>
              <w:rPr>
                <w:rFonts w:hint="eastAsia" w:ascii="宋体" w:hAnsi="宋体" w:cs="宋体"/>
              </w:rPr>
              <w:br w:type="textWrapping"/>
            </w:r>
            <w:r>
              <w:rPr>
                <w:rFonts w:hint="eastAsia" w:ascii="宋体" w:hAnsi="宋体" w:cs="宋体"/>
              </w:rPr>
              <w:t>网络在线考试系统采用安卓系统与蓝牙无线网络为基础，集成故障设置、APP软件可在任意安卓系统的智能手机或平板电脑上运行。系统主要由无线故障设置系统和触摸屏的故障考核系统两部分组成，教师在讲课时，用带安卓系统的手机或平板电脑远程无线设置故障，方便教师教学讲课。学生考核可在触摸屏故障考核系统上完成。</w:t>
            </w:r>
            <w:r>
              <w:rPr>
                <w:rFonts w:hint="eastAsia" w:ascii="宋体" w:hAnsi="宋体" w:cs="宋体"/>
              </w:rPr>
              <w:br w:type="textWrapping"/>
            </w:r>
            <w:r>
              <w:rPr>
                <w:rFonts w:hint="eastAsia" w:ascii="宋体" w:hAnsi="宋体" w:cs="宋体"/>
              </w:rPr>
              <w:t>6.1配备5寸触摸控制屏：触摸屏内安装考核管理系统软件，具有教师登录界面和学生登录界面，教师登录界面配有考核故障设置、考核时间设置、登录密码设置、考核成绩查询、用户信息设置功能。</w:t>
            </w:r>
            <w:r>
              <w:rPr>
                <w:rFonts w:hint="eastAsia" w:ascii="宋体" w:hAnsi="宋体" w:cs="宋体"/>
              </w:rPr>
              <w:br w:type="textWrapping"/>
            </w:r>
            <w:r>
              <w:rPr>
                <w:rFonts w:hint="eastAsia" w:ascii="宋体" w:hAnsi="宋体" w:cs="宋体"/>
              </w:rPr>
              <w:t>6.2通过智能化故障设置器对设备相关控制线路进行断路故障设置，通过所设置的故障对设备进行故障诊断与排除:断路故障设置可以设置最少20路的故障,虚接故障设置可以设置最少20路的故障,短路故障设置可以设置最少6路的信号对地短路故障。（注:此实训台只用断路故障功能）</w:t>
            </w:r>
            <w:r>
              <w:rPr>
                <w:rFonts w:hint="eastAsia" w:ascii="宋体" w:hAnsi="宋体" w:cs="宋体"/>
              </w:rPr>
              <w:br w:type="textWrapping"/>
            </w:r>
            <w:r>
              <w:rPr>
                <w:rFonts w:hint="eastAsia" w:ascii="宋体" w:hAnsi="宋体" w:cs="宋体"/>
              </w:rPr>
              <w:t>6.3故障名称设置功能可以把故障名称自定义编辑命名,所有故障设置界面都具有“全部设置”“全部清除”功能。</w:t>
            </w:r>
            <w:r>
              <w:rPr>
                <w:rFonts w:hint="eastAsia" w:ascii="宋体" w:hAnsi="宋体" w:cs="宋体"/>
              </w:rPr>
              <w:br w:type="textWrapping"/>
            </w:r>
            <w:r>
              <w:rPr>
                <w:rFonts w:hint="eastAsia" w:ascii="宋体" w:hAnsi="宋体" w:cs="宋体"/>
              </w:rPr>
              <w:t>6.4故障设置器板采用LM2596S电源芯片输入输出做反接保护处理，主控制芯片采用双12C5A08S2系列单片机，采用SRA-12VDC-CL大电流继电器作为故障设置开关，继电器使用ULN2803APG芯片控制线圈引脚。故障设置器所有故障点都安装故障指示灯并能够外接，每块故障设置器板都预留启动控制接口方便功能拓展。</w:t>
            </w:r>
            <w:r>
              <w:rPr>
                <w:rFonts w:hint="eastAsia" w:ascii="宋体" w:hAnsi="宋体" w:cs="宋体"/>
              </w:rPr>
              <w:br w:type="textWrapping"/>
            </w:r>
            <w:r>
              <w:rPr>
                <w:rFonts w:hint="eastAsia" w:ascii="宋体" w:hAnsi="宋体" w:cs="宋体"/>
              </w:rPr>
              <w:t>6.5故障设置器具有可拓展功能，最大允许扩容的100路故障。故障设置器主通讯板尺寸长153mm宽86mm，继电器板长205mm宽177mm。</w:t>
            </w:r>
            <w:r>
              <w:rPr>
                <w:rFonts w:hint="eastAsia" w:ascii="宋体" w:hAnsi="宋体" w:cs="宋体"/>
              </w:rPr>
              <w:br w:type="textWrapping"/>
            </w:r>
            <w:r>
              <w:rPr>
                <w:rFonts w:hint="eastAsia" w:ascii="宋体" w:hAnsi="宋体" w:cs="宋体"/>
              </w:rPr>
              <w:t>二、产品规格与工艺要求:</w:t>
            </w:r>
            <w:r>
              <w:rPr>
                <w:rFonts w:hint="eastAsia" w:ascii="宋体" w:hAnsi="宋体" w:cs="宋体"/>
              </w:rPr>
              <w:br w:type="textWrapping"/>
            </w:r>
            <w:r>
              <w:rPr>
                <w:rFonts w:hint="eastAsia" w:ascii="宋体" w:hAnsi="宋体" w:cs="宋体"/>
              </w:rPr>
              <w:t>1、外形尺寸（长*宽*高）：（1200mm-1210mm）×（1400mm-1410mm）×（1100mm-1110mm）</w:t>
            </w:r>
            <w:r>
              <w:rPr>
                <w:rFonts w:hint="eastAsia" w:ascii="宋体" w:hAnsi="宋体" w:cs="宋体"/>
              </w:rPr>
              <w:br w:type="textWrapping"/>
            </w:r>
            <w:r>
              <w:rPr>
                <w:rFonts w:hint="eastAsia" w:ascii="宋体" w:hAnsi="宋体" w:cs="宋体"/>
              </w:rPr>
              <w:t>2、工作电源：低压DC12V,高压653V，</w:t>
            </w:r>
            <w:r>
              <w:rPr>
                <w:rFonts w:hint="eastAsia" w:ascii="宋体" w:hAnsi="宋体" w:cs="宋体"/>
              </w:rPr>
              <w:br w:type="textWrapping"/>
            </w:r>
            <w:r>
              <w:rPr>
                <w:rFonts w:hint="eastAsia" w:ascii="宋体" w:hAnsi="宋体" w:cs="宋体"/>
              </w:rPr>
              <w:t>3、整体台架采用哑光黑色3mm厚ABS吸塑包裹工艺结构美观大方、有足够的机械强度，整体高度1050mm宽1406mm长560mm吸塑R角处可一保证最小厚度大于2mm， 4、底座ABS吸塑罩盖长1406mm宽327mm高80mm，罩盖采用三面折弯包裹拔模角度为95°最大R角为10mm拔模角度为5°，罩盖上两侧设有凹型物料放置空间，两侧加装两个橙色L型ABS装饰条。</w:t>
            </w:r>
            <w:r>
              <w:rPr>
                <w:rFonts w:hint="eastAsia" w:ascii="宋体" w:hAnsi="宋体" w:cs="宋体"/>
              </w:rPr>
              <w:br w:type="textWrapping"/>
            </w:r>
            <w:r>
              <w:rPr>
                <w:rFonts w:hint="eastAsia" w:ascii="宋体" w:hAnsi="宋体" w:cs="宋体"/>
              </w:rPr>
              <w:t>5、台架后立柱使用组合式哑光黑色3mm厚ABS吸塑罩盖长600mm宽60mm高823mm配合间隙≥2mm，边角R115mm拔模角度为3°，边缘设有L型对接卡槽用于与前立柱结合，内部加装40mmX40mm方钢作为骨架，后吸塑罩盖设计为流线型长盖，立柱上部与下部的角度为88°，</w:t>
            </w:r>
            <w:r>
              <w:rPr>
                <w:rFonts w:hint="eastAsia" w:ascii="宋体" w:hAnsi="宋体" w:cs="宋体"/>
              </w:rPr>
              <w:br w:type="textWrapping"/>
            </w:r>
            <w:r>
              <w:rPr>
                <w:rFonts w:hint="eastAsia" w:ascii="宋体" w:hAnsi="宋体" w:cs="宋体"/>
              </w:rPr>
              <w:t>6、台架前立柱使用组合式哑光黑色3mm厚ABS吸塑罩长607mm宽160mm高772mm配合间隙≥2mm，边角R115mm拔模角度为3°，边缘设有L型对接卡槽用于与后立柱结合，前立柱罩盖中间位置设计有logo凹槽，logo槽外围配置7mm深艺术U型槽作为装饰，两侧配置橘黄色装饰条，前立柱底部设有口子型外设预留孔，可以安装制动踏板、油门踏板等机械装置。前吸塑立柱上部预留φ32mm把手安装孔，吸塑台架配置U字形台架拉手，拉手采用高强度钢管焊接而成把手外面包裹高仿耐磨皮革，皮革采用黑色高韧性尼龙线编花缝接。</w:t>
            </w:r>
            <w:r>
              <w:rPr>
                <w:rFonts w:hint="eastAsia" w:ascii="宋体" w:hAnsi="宋体" w:cs="宋体"/>
              </w:rPr>
              <w:br w:type="textWrapping"/>
            </w:r>
            <w:r>
              <w:rPr>
                <w:rFonts w:hint="eastAsia" w:ascii="宋体" w:hAnsi="宋体" w:cs="宋体"/>
              </w:rPr>
              <w:t>7、操控面板采用黑色哑光3mm厚ABS吸塑一次成型，外部尺寸长1200mm宽520mm高131mm，中间操控板安装位置尺寸长1086mm宽406mm，边角R为5mm拔模角度5°，吸塑操控面板上面边缘设有11mm高一字型流线装饰条纹凹凸别致美观大方。操控面板吸塑内部配置高强度钢骨架，用于与吸塑立柱连接并固定操控面板。</w:t>
            </w:r>
            <w:r>
              <w:rPr>
                <w:rFonts w:hint="eastAsia" w:ascii="宋体" w:hAnsi="宋体" w:cs="宋体"/>
              </w:rPr>
              <w:br w:type="textWrapping"/>
            </w:r>
            <w:r>
              <w:rPr>
                <w:rFonts w:hint="eastAsia" w:ascii="宋体" w:hAnsi="宋体" w:cs="宋体"/>
              </w:rPr>
              <w:t>8、多功能防护罩采用哑光黑色3mm厚ABS吸塑一次成型，长1350mm总宽100mm边缘宽度35mm高510mm，边角R10mm拔模角度为3°。多功能防护罩外型为金子塔样式，中加位置可放置logo，整体防护罩面用四个流线型骨架分为四个区域，下面区域为长35mm宽8mm蜂窝状通气孔，左侧和右侧区域为8mm宽渐变型长条通气孔。左右区域通气孔最上部设有6mm深凹槽可安装橙色装饰条。上部区域设有6mm深一字型流线槽用于增加机械强度和装饰。</w:t>
            </w:r>
            <w:r>
              <w:rPr>
                <w:rFonts w:hint="eastAsia" w:ascii="宋体" w:hAnsi="宋体" w:cs="宋体"/>
              </w:rPr>
              <w:br w:type="textWrapping"/>
            </w:r>
            <w:r>
              <w:rPr>
                <w:rFonts w:hint="eastAsia" w:ascii="宋体" w:hAnsi="宋体" w:cs="宋体"/>
              </w:rPr>
              <w:t>三、产品功能要求:</w:t>
            </w:r>
            <w:r>
              <w:rPr>
                <w:rFonts w:hint="eastAsia" w:ascii="宋体" w:hAnsi="宋体" w:cs="宋体"/>
              </w:rPr>
              <w:br w:type="textWrapping"/>
            </w:r>
            <w:r>
              <w:rPr>
                <w:rFonts w:hint="eastAsia" w:ascii="宋体" w:hAnsi="宋体" w:cs="宋体"/>
              </w:rPr>
              <w:t>1.展示功能：实训考核系统可以启动运行，充分展示插电式混合动力汽车驱动系统按照原车布置，全部采用原车部件包括电机驱动系统的所有相关电子控制单元及传感器、电机驱动系统、电机及变速器硬件、制动系统原件、燃油驱动系统总成组成全部展示出来。</w:t>
            </w:r>
            <w:r>
              <w:rPr>
                <w:rFonts w:hint="eastAsia" w:ascii="宋体" w:hAnsi="宋体" w:cs="宋体"/>
              </w:rPr>
              <w:br w:type="textWrapping"/>
            </w:r>
            <w:r>
              <w:rPr>
                <w:rFonts w:hint="eastAsia" w:ascii="宋体" w:hAnsi="宋体" w:cs="宋体"/>
              </w:rPr>
              <w:t>2.运行工况分析功能：踏下制动踏板,开启点火开关即可挂档使设备运行，可以实现启动工况、待机工况、急加速工况、急减速工况、一般工况、制动工况。各种工况配合仪表显示既可以获得驱动电机与电池之间的逻辑关系，为电机驱动系统的工作原理分析提供帮助。</w:t>
            </w:r>
            <w:r>
              <w:rPr>
                <w:rFonts w:hint="eastAsia" w:ascii="宋体" w:hAnsi="宋体" w:cs="宋体"/>
              </w:rPr>
              <w:br w:type="textWrapping"/>
            </w:r>
            <w:r>
              <w:rPr>
                <w:rFonts w:hint="eastAsia" w:ascii="宋体" w:hAnsi="宋体" w:cs="宋体"/>
              </w:rPr>
              <w:t>3.工作原理分析功能对驱动系统不同的工况下工作过程，各个工况切换，工作原件之间是如何切换的。</w:t>
            </w:r>
            <w:r>
              <w:rPr>
                <w:rFonts w:hint="eastAsia" w:ascii="宋体" w:hAnsi="宋体" w:cs="宋体"/>
              </w:rPr>
              <w:br w:type="textWrapping"/>
            </w:r>
            <w:r>
              <w:rPr>
                <w:rFonts w:hint="eastAsia" w:ascii="宋体" w:hAnsi="宋体" w:cs="宋体"/>
              </w:rPr>
              <w:t>4.实时显示功能：实训考核系统面板上安装有原车仪表，可实时显示上电状态、高压电池荷电量SOC、输出功率、时速及续航里程电控系统故障指示灯等参数变化。</w:t>
            </w:r>
            <w:r>
              <w:rPr>
                <w:rFonts w:hint="eastAsia" w:ascii="宋体" w:hAnsi="宋体" w:cs="宋体"/>
              </w:rPr>
              <w:br w:type="textWrapping"/>
            </w:r>
            <w:r>
              <w:rPr>
                <w:rFonts w:hint="eastAsia" w:ascii="宋体" w:hAnsi="宋体" w:cs="宋体"/>
              </w:rPr>
              <w:t>5.诊断仪检测功能：本设备支持通用汽车诊断仪及专用汽车诊断仪的检测，可以进行系统的版本信息读取、故障存储器的读取、故障码的清除、数据流的读取。</w:t>
            </w:r>
            <w:r>
              <w:rPr>
                <w:rFonts w:hint="eastAsia" w:ascii="宋体" w:hAnsi="宋体" w:cs="宋体"/>
              </w:rPr>
              <w:br w:type="textWrapping"/>
            </w:r>
            <w:r>
              <w:rPr>
                <w:rFonts w:hint="eastAsia" w:ascii="宋体" w:hAnsi="宋体" w:cs="宋体"/>
              </w:rPr>
              <w:t>6.实训考核系统外部运行部件运转系统和水箱都有安全防护装置。</w:t>
            </w:r>
            <w:r>
              <w:rPr>
                <w:rFonts w:hint="eastAsia" w:ascii="宋体" w:hAnsi="宋体" w:cs="宋体"/>
              </w:rPr>
              <w:br w:type="textWrapping"/>
            </w:r>
            <w:r>
              <w:rPr>
                <w:rFonts w:hint="eastAsia" w:ascii="宋体" w:hAnsi="宋体" w:cs="宋体"/>
              </w:rPr>
              <w:t>四、教学及实训项目:</w:t>
            </w:r>
            <w:r>
              <w:rPr>
                <w:rFonts w:hint="eastAsia" w:ascii="宋体" w:hAnsi="宋体" w:cs="宋体"/>
              </w:rPr>
              <w:br w:type="textWrapping"/>
            </w:r>
            <w:r>
              <w:rPr>
                <w:rFonts w:hint="eastAsia" w:ascii="宋体" w:hAnsi="宋体" w:cs="宋体"/>
              </w:rPr>
              <w:t>1、插电式混合动力总成驱动原理方式；</w:t>
            </w:r>
            <w:r>
              <w:rPr>
                <w:rFonts w:hint="eastAsia" w:ascii="宋体" w:hAnsi="宋体" w:cs="宋体"/>
              </w:rPr>
              <w:br w:type="textWrapping"/>
            </w:r>
            <w:r>
              <w:rPr>
                <w:rFonts w:hint="eastAsia" w:ascii="宋体" w:hAnsi="宋体" w:cs="宋体"/>
              </w:rPr>
              <w:t>2、掌握电动机与发动机驱动控制逻辑结构学习；</w:t>
            </w:r>
            <w:r>
              <w:rPr>
                <w:rFonts w:hint="eastAsia" w:ascii="宋体" w:hAnsi="宋体" w:cs="宋体"/>
              </w:rPr>
              <w:br w:type="textWrapping"/>
            </w:r>
            <w:r>
              <w:rPr>
                <w:rFonts w:hint="eastAsia" w:ascii="宋体" w:hAnsi="宋体" w:cs="宋体"/>
              </w:rPr>
              <w:t>3、汽车电机及电机控制器高压安全操作实训；</w:t>
            </w:r>
          </w:p>
        </w:tc>
        <w:tc>
          <w:tcPr>
            <w:tcW w:w="357" w:type="pct"/>
            <w:vAlign w:val="center"/>
          </w:tcPr>
          <w:p w14:paraId="25FB1A89">
            <w:pPr>
              <w:jc w:val="center"/>
              <w:rPr>
                <w:rFonts w:hint="eastAsia" w:ascii="宋体" w:hAnsi="宋体" w:cs="宋体"/>
                <w:szCs w:val="21"/>
              </w:rPr>
            </w:pPr>
            <w:r>
              <w:rPr>
                <w:rFonts w:hint="eastAsia" w:ascii="宋体" w:hAnsi="宋体" w:cs="宋体"/>
                <w:szCs w:val="21"/>
              </w:rPr>
              <w:t>1</w:t>
            </w:r>
          </w:p>
        </w:tc>
        <w:tc>
          <w:tcPr>
            <w:tcW w:w="341" w:type="pct"/>
            <w:vAlign w:val="center"/>
          </w:tcPr>
          <w:p w14:paraId="2D35BB2F">
            <w:pPr>
              <w:jc w:val="center"/>
              <w:rPr>
                <w:rFonts w:hint="eastAsia" w:ascii="宋体" w:hAnsi="宋体" w:cs="宋体"/>
                <w:szCs w:val="21"/>
              </w:rPr>
            </w:pPr>
            <w:r>
              <w:rPr>
                <w:rFonts w:hint="eastAsia" w:ascii="宋体" w:hAnsi="宋体" w:cs="宋体"/>
                <w:szCs w:val="21"/>
              </w:rPr>
              <w:t>套</w:t>
            </w:r>
          </w:p>
        </w:tc>
      </w:tr>
      <w:tr w14:paraId="5116C4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trHeight w:val="695" w:hRule="atLeast"/>
        </w:trPr>
        <w:tc>
          <w:tcPr>
            <w:tcW w:w="193" w:type="pct"/>
            <w:vAlign w:val="center"/>
          </w:tcPr>
          <w:p w14:paraId="120B0601">
            <w:pPr>
              <w:jc w:val="center"/>
              <w:rPr>
                <w:rFonts w:hint="eastAsia" w:ascii="宋体" w:hAnsi="宋体" w:cs="宋体"/>
                <w:b/>
                <w:bCs/>
                <w:szCs w:val="21"/>
              </w:rPr>
            </w:pPr>
            <w:r>
              <w:rPr>
                <w:rFonts w:hint="eastAsia" w:ascii="宋体" w:hAnsi="宋体" w:cs="宋体"/>
                <w:szCs w:val="21"/>
              </w:rPr>
              <w:t>25</w:t>
            </w:r>
          </w:p>
        </w:tc>
        <w:tc>
          <w:tcPr>
            <w:tcW w:w="536" w:type="pct"/>
            <w:vAlign w:val="center"/>
          </w:tcPr>
          <w:p w14:paraId="4BF21B8C">
            <w:pPr>
              <w:pStyle w:val="80"/>
              <w:jc w:val="center"/>
              <w:rPr>
                <w:rFonts w:hint="eastAsia" w:ascii="宋体" w:hAnsi="宋体" w:cs="宋体"/>
              </w:rPr>
            </w:pPr>
            <w:r>
              <w:rPr>
                <w:rFonts w:hint="eastAsia" w:ascii="宋体" w:hAnsi="宋体" w:cs="宋体"/>
              </w:rPr>
              <w:t>新能源汽车驱动电机VR智能教学软件系统</w:t>
            </w:r>
          </w:p>
        </w:tc>
        <w:tc>
          <w:tcPr>
            <w:tcW w:w="3571" w:type="pct"/>
            <w:vAlign w:val="center"/>
          </w:tcPr>
          <w:p w14:paraId="22179E45">
            <w:pPr>
              <w:pStyle w:val="80"/>
              <w:ind w:left="105" w:leftChars="50"/>
              <w:jc w:val="left"/>
              <w:rPr>
                <w:rFonts w:hint="eastAsia" w:ascii="宋体" w:hAnsi="宋体" w:cs="宋体"/>
              </w:rPr>
            </w:pPr>
            <w:r>
              <w:rPr>
                <w:rFonts w:hint="eastAsia" w:ascii="宋体" w:hAnsi="宋体" w:cs="宋体"/>
              </w:rPr>
              <w:t>一、功能要求：</w:t>
            </w:r>
            <w:r>
              <w:rPr>
                <w:rFonts w:hint="eastAsia" w:ascii="宋体" w:hAnsi="宋体" w:cs="宋体"/>
              </w:rPr>
              <w:br w:type="textWrapping"/>
            </w:r>
            <w:r>
              <w:rPr>
                <w:rFonts w:hint="eastAsia" w:ascii="宋体" w:hAnsi="宋体" w:cs="宋体"/>
              </w:rPr>
              <w:t>1、VR虚拟现实的方式展示新能源汽车驱动电机结构原理以及在实车上的位置。从宏观到微观讲解新能源汽车，可以根据讲解进度进行同步实训、可以学习系统的基本原理、对所学内容及时考核。</w:t>
            </w:r>
            <w:r>
              <w:rPr>
                <w:rFonts w:hint="eastAsia" w:ascii="宋体" w:hAnsi="宋体" w:cs="宋体"/>
              </w:rPr>
              <w:br w:type="textWrapping"/>
            </w:r>
            <w:r>
              <w:rPr>
                <w:rFonts w:hint="eastAsia" w:ascii="宋体" w:hAnsi="宋体" w:cs="宋体"/>
              </w:rPr>
              <w:t>2、电机模块主要展示电机各部件的认知和结构原理，代替老师讲解新能源汽车驱动电机结构各零部件作用。</w:t>
            </w:r>
            <w:r>
              <w:rPr>
                <w:rFonts w:hint="eastAsia" w:ascii="宋体" w:hAnsi="宋体" w:cs="宋体"/>
              </w:rPr>
              <w:br w:type="textWrapping"/>
            </w:r>
            <w:r>
              <w:rPr>
                <w:rFonts w:hint="eastAsia" w:ascii="宋体" w:hAnsi="宋体" w:cs="宋体"/>
              </w:rPr>
              <w:t>3、通过1:1建模在3D环境内真实呈现了驱动电机的基本结构，将驱动电机分解展示：电机后端盖螺丝、电机后端盖、电机温度传感器插接件、电机转速传感器插接件、旋转变压器插头、后端轴承、电机转速传感器定子、传感器压盘、传感器固定螺栓、旋变转子、电机转子、前端轴承、内花键、电机定子固定螺栓、三相绕组连接端子、电机温度传感器、电机定子总成、固定螺栓、接线盒、固定螺栓、电机空气平衡口、接线盒盖板、冷却水管接头、冷却液排气孔、电机壳体、冷却水管接头、固定螺栓、冷却液排放口螺丝、密封环、卡簧、冷却液温度传感器等31个零部件；详细语音讲解及文字介绍。电机系统模块还配备有低温工况、高温工况原理动画，通过生动的三维动画，使学员更容易学习总成工作及原理。</w:t>
            </w:r>
            <w:r>
              <w:rPr>
                <w:rFonts w:hint="eastAsia" w:ascii="宋体" w:hAnsi="宋体" w:cs="宋体"/>
              </w:rPr>
              <w:br w:type="textWrapping"/>
            </w:r>
            <w:r>
              <w:rPr>
                <w:rFonts w:hint="eastAsia" w:ascii="宋体" w:hAnsi="宋体" w:cs="宋体"/>
              </w:rPr>
              <w:t>4、使用光标点击零部件，零部件能够变换颜色并自动讲解结构及作用。</w:t>
            </w:r>
            <w:r>
              <w:rPr>
                <w:rFonts w:hint="eastAsia" w:ascii="宋体" w:hAnsi="宋体" w:cs="宋体"/>
              </w:rPr>
              <w:br w:type="textWrapping"/>
            </w:r>
            <w:r>
              <w:rPr>
                <w:rFonts w:hint="eastAsia" w:ascii="宋体" w:hAnsi="宋体" w:cs="宋体"/>
              </w:rPr>
              <w:t>5、通过3D特效展示了驱动电机内部结构及工作原理，可根据学习需要，重复学习重点或难懂的知识点。能够解决新能源汽车教学和实训中看不见、查不到、拆不开、无法重复使用等问题。</w:t>
            </w:r>
            <w:r>
              <w:rPr>
                <w:rFonts w:hint="eastAsia" w:ascii="宋体" w:hAnsi="宋体" w:cs="宋体"/>
              </w:rPr>
              <w:br w:type="textWrapping"/>
            </w:r>
            <w:r>
              <w:rPr>
                <w:rFonts w:hint="eastAsia" w:ascii="宋体" w:hAnsi="宋体" w:cs="宋体"/>
              </w:rPr>
              <w:t>6、配有答题模式，根据学生所学的知识进行考核，加深学生对所学章节的印象。系统根据本次所学得知生成试卷，通过语音读题、字幕同步显示、自动评判、错误提示、设有专门的功能区，并引导和鼓励学生再次学习。使学生主动学习并验证自己的学习效果。</w:t>
            </w:r>
            <w:r>
              <w:rPr>
                <w:rFonts w:hint="eastAsia" w:ascii="宋体" w:hAnsi="宋体" w:cs="宋体"/>
              </w:rPr>
              <w:br w:type="textWrapping"/>
            </w:r>
            <w:r>
              <w:rPr>
                <w:rFonts w:hint="eastAsia" w:ascii="宋体" w:hAnsi="宋体" w:cs="宋体"/>
              </w:rPr>
              <w:t>四、产品运行环境要求：</w:t>
            </w:r>
            <w:r>
              <w:rPr>
                <w:rFonts w:hint="eastAsia" w:ascii="宋体" w:hAnsi="宋体" w:cs="宋体"/>
              </w:rPr>
              <w:br w:type="textWrapping"/>
            </w:r>
            <w:r>
              <w:rPr>
                <w:rFonts w:hint="eastAsia" w:ascii="宋体" w:hAnsi="宋体" w:cs="宋体"/>
              </w:rPr>
              <w:t>软件用Unity3d进行框架的搭建，C#语音进行命令的编写；3DsMax配合建模和动画的制作；动画的特效是拿after effect进行制作；用photoshop制作菜单和Ui。</w:t>
            </w:r>
            <w:r>
              <w:rPr>
                <w:rFonts w:hint="eastAsia" w:ascii="宋体" w:hAnsi="宋体" w:cs="宋体"/>
              </w:rPr>
              <w:br w:type="textWrapping"/>
            </w:r>
            <w:r>
              <w:rPr>
                <w:rFonts w:hint="eastAsia" w:ascii="宋体" w:hAnsi="宋体" w:cs="宋体"/>
              </w:rPr>
              <w:t>五、教学及实训内容要求：</w:t>
            </w:r>
            <w:r>
              <w:rPr>
                <w:rFonts w:hint="eastAsia" w:ascii="宋体" w:hAnsi="宋体" w:cs="宋体"/>
              </w:rPr>
              <w:br w:type="textWrapping"/>
            </w:r>
            <w:r>
              <w:rPr>
                <w:rFonts w:hint="eastAsia" w:ascii="宋体" w:hAnsi="宋体" w:cs="宋体"/>
              </w:rPr>
              <w:t>纯电动汽车驱动电机的基本介绍；定子总成结构认知及考核；转子总成结构认知及考核；电机转速传感器结构认知及考核；电机温度传感器结构认知及考核；电机及控制器故障模拟；电机冷却系统结构认知及原理演示。</w:t>
            </w:r>
          </w:p>
        </w:tc>
        <w:tc>
          <w:tcPr>
            <w:tcW w:w="357" w:type="pct"/>
            <w:vAlign w:val="center"/>
          </w:tcPr>
          <w:p w14:paraId="7F1F751C">
            <w:pPr>
              <w:jc w:val="center"/>
              <w:rPr>
                <w:rFonts w:hint="eastAsia" w:ascii="宋体" w:hAnsi="宋体" w:cs="宋体"/>
                <w:szCs w:val="21"/>
              </w:rPr>
            </w:pPr>
            <w:r>
              <w:rPr>
                <w:rFonts w:hint="eastAsia" w:ascii="宋体" w:hAnsi="宋体" w:cs="宋体"/>
                <w:szCs w:val="21"/>
              </w:rPr>
              <w:t>2</w:t>
            </w:r>
          </w:p>
        </w:tc>
        <w:tc>
          <w:tcPr>
            <w:tcW w:w="341" w:type="pct"/>
            <w:vAlign w:val="center"/>
          </w:tcPr>
          <w:p w14:paraId="74DCAE47">
            <w:pPr>
              <w:jc w:val="center"/>
              <w:rPr>
                <w:rFonts w:hint="eastAsia" w:ascii="宋体" w:hAnsi="宋体" w:cs="宋体"/>
                <w:szCs w:val="21"/>
              </w:rPr>
            </w:pPr>
            <w:r>
              <w:rPr>
                <w:rFonts w:hint="eastAsia" w:ascii="宋体" w:hAnsi="宋体" w:cs="宋体"/>
                <w:szCs w:val="21"/>
              </w:rPr>
              <w:t>套</w:t>
            </w:r>
          </w:p>
        </w:tc>
      </w:tr>
      <w:tr w14:paraId="6395A2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trHeight w:val="695" w:hRule="atLeast"/>
        </w:trPr>
        <w:tc>
          <w:tcPr>
            <w:tcW w:w="193" w:type="pct"/>
            <w:vAlign w:val="center"/>
          </w:tcPr>
          <w:p w14:paraId="717A02A0">
            <w:pPr>
              <w:jc w:val="center"/>
              <w:rPr>
                <w:rFonts w:hint="eastAsia" w:ascii="宋体" w:hAnsi="宋体" w:cs="宋体"/>
                <w:b/>
                <w:bCs/>
                <w:szCs w:val="21"/>
              </w:rPr>
            </w:pPr>
            <w:r>
              <w:rPr>
                <w:rFonts w:hint="eastAsia" w:ascii="宋体" w:hAnsi="宋体" w:cs="宋体"/>
                <w:szCs w:val="21"/>
              </w:rPr>
              <w:t>26</w:t>
            </w:r>
          </w:p>
        </w:tc>
        <w:tc>
          <w:tcPr>
            <w:tcW w:w="536" w:type="pct"/>
            <w:vAlign w:val="center"/>
          </w:tcPr>
          <w:p w14:paraId="70C3B872">
            <w:pPr>
              <w:pStyle w:val="80"/>
              <w:jc w:val="center"/>
              <w:rPr>
                <w:rFonts w:hint="eastAsia" w:ascii="宋体" w:hAnsi="宋体" w:cs="宋体"/>
              </w:rPr>
            </w:pPr>
            <w:r>
              <w:rPr>
                <w:rFonts w:hint="eastAsia" w:ascii="宋体" w:hAnsi="宋体" w:cs="宋体"/>
              </w:rPr>
              <w:t>新能源汽车变速器VR智能教学软件系统</w:t>
            </w:r>
          </w:p>
        </w:tc>
        <w:tc>
          <w:tcPr>
            <w:tcW w:w="3571" w:type="pct"/>
            <w:vAlign w:val="center"/>
          </w:tcPr>
          <w:p w14:paraId="1F87E53A">
            <w:pPr>
              <w:pStyle w:val="80"/>
              <w:ind w:left="105" w:leftChars="50"/>
              <w:jc w:val="left"/>
              <w:rPr>
                <w:rFonts w:hint="eastAsia" w:ascii="宋体" w:hAnsi="宋体" w:cs="宋体"/>
              </w:rPr>
            </w:pPr>
            <w:r>
              <w:rPr>
                <w:rFonts w:hint="eastAsia" w:ascii="宋体" w:hAnsi="宋体" w:cs="宋体"/>
              </w:rPr>
              <w:t>一、产品简介及功能要求：</w:t>
            </w:r>
            <w:r>
              <w:rPr>
                <w:rFonts w:hint="eastAsia" w:ascii="宋体" w:hAnsi="宋体" w:cs="宋体"/>
              </w:rPr>
              <w:br w:type="textWrapping"/>
            </w:r>
            <w:r>
              <w:rPr>
                <w:rFonts w:hint="eastAsia" w:ascii="宋体" w:hAnsi="宋体" w:cs="宋体"/>
              </w:rPr>
              <w:t>1、VR虚拟现实的方式展示新能源汽车变速器的结构原理以及在实车上的位置。从宏观到微观讲解新能源汽车，可以根据讲解进度进行同步实训、可以学习系统的基本原理、对所学内容及时考核。</w:t>
            </w:r>
            <w:r>
              <w:rPr>
                <w:rFonts w:hint="eastAsia" w:ascii="宋体" w:hAnsi="宋体" w:cs="宋体"/>
              </w:rPr>
              <w:br w:type="textWrapping"/>
            </w:r>
            <w:r>
              <w:rPr>
                <w:rFonts w:hint="eastAsia" w:ascii="宋体" w:hAnsi="宋体" w:cs="宋体"/>
              </w:rPr>
              <w:t>2、变速器模块主要展示变速器各部件的认知和结构原理，代替老师讲解新能源汽车变速器机构各零部件作用。</w:t>
            </w:r>
            <w:r>
              <w:rPr>
                <w:rFonts w:hint="eastAsia" w:ascii="宋体" w:hAnsi="宋体" w:cs="宋体"/>
              </w:rPr>
              <w:br w:type="textWrapping"/>
            </w:r>
            <w:r>
              <w:rPr>
                <w:rFonts w:hint="eastAsia" w:ascii="宋体" w:hAnsi="宋体" w:cs="宋体"/>
              </w:rPr>
              <w:t>3、通过1:1建模在3D环境内真实呈现了变速器的基本结构，将变速器分解展示：变速器壳体固定螺栓、变速器前壳体、密封环、输入轴油封、输出轴油封、防尘盖、波纹形弹簧、输入轴前端轴承、输入轴轴承固定架、输入轴轴承固定架螺栓、输入轴齿轮、输入轴后端轴承、轴承、固定架、螺栓、中间轴及齿轮、中间轴后端轴承卡簧、中间轴后端轴承、短轴、半轴油封工作面、内球笼卡簧、永磁铁、差速器轴承、螺栓及固定架、短轴紧固螺栓、主减速齿轮、预紧弹簧、弹簧座、锥形挡圈、预紧胶圈、差速器壳体、半轴齿轮垫片、半轴齿轮、短轴固定螺母、行星齿轮、行星齿轮垫片、变速器后壳体、注油和油面螺栓、放油螺栓等39个零部件；详细语音讲解及文字介绍。</w:t>
            </w:r>
            <w:r>
              <w:rPr>
                <w:rFonts w:hint="eastAsia" w:ascii="宋体" w:hAnsi="宋体" w:cs="宋体"/>
              </w:rPr>
              <w:br w:type="textWrapping"/>
            </w:r>
            <w:r>
              <w:rPr>
                <w:rFonts w:hint="eastAsia" w:ascii="宋体" w:hAnsi="宋体" w:cs="宋体"/>
              </w:rPr>
              <w:t>4、使用光标点击零部件，零部件能够变换颜色并自动讲解结构及作用。</w:t>
            </w:r>
            <w:r>
              <w:rPr>
                <w:rFonts w:hint="eastAsia" w:ascii="宋体" w:hAnsi="宋体" w:cs="宋体"/>
              </w:rPr>
              <w:br w:type="textWrapping"/>
            </w:r>
            <w:r>
              <w:rPr>
                <w:rFonts w:hint="eastAsia" w:ascii="宋体" w:hAnsi="宋体" w:cs="宋体"/>
              </w:rPr>
              <w:t>5、通过3D特效展示了变速器内部结构及工作原理，可根据学习需要，重复学习重点或难懂的知识点。能够解决新能源汽车教学和实训中看不见、查不到、拆不开、无法重复使用等问题。</w:t>
            </w:r>
            <w:r>
              <w:rPr>
                <w:rFonts w:hint="eastAsia" w:ascii="宋体" w:hAnsi="宋体" w:cs="宋体"/>
              </w:rPr>
              <w:br w:type="textWrapping"/>
            </w:r>
            <w:r>
              <w:rPr>
                <w:rFonts w:hint="eastAsia" w:ascii="宋体" w:hAnsi="宋体" w:cs="宋体"/>
              </w:rPr>
              <w:t>6、配有答题模式，根据学生所学的知识进行考核，加深学生对所学章节的印象。系统根据本次所学得知生成试卷，通过语音读题、字幕同步显示、自动评判、错误提示、设有专门的功能区，并引导和鼓励学生再次学习。使学生主动学习并验证自己的学习效果。</w:t>
            </w:r>
          </w:p>
        </w:tc>
        <w:tc>
          <w:tcPr>
            <w:tcW w:w="357" w:type="pct"/>
            <w:vAlign w:val="center"/>
          </w:tcPr>
          <w:p w14:paraId="3B71A6A1">
            <w:pPr>
              <w:jc w:val="center"/>
              <w:rPr>
                <w:rFonts w:hint="eastAsia" w:ascii="宋体" w:hAnsi="宋体" w:cs="宋体"/>
                <w:szCs w:val="21"/>
              </w:rPr>
            </w:pPr>
            <w:r>
              <w:rPr>
                <w:rFonts w:hint="eastAsia" w:ascii="宋体" w:hAnsi="宋体" w:cs="宋体"/>
                <w:szCs w:val="21"/>
              </w:rPr>
              <w:t>2</w:t>
            </w:r>
          </w:p>
        </w:tc>
        <w:tc>
          <w:tcPr>
            <w:tcW w:w="341" w:type="pct"/>
            <w:vAlign w:val="center"/>
          </w:tcPr>
          <w:p w14:paraId="1212500C">
            <w:pPr>
              <w:jc w:val="center"/>
              <w:rPr>
                <w:rFonts w:hint="eastAsia" w:ascii="宋体" w:hAnsi="宋体" w:cs="宋体"/>
                <w:szCs w:val="21"/>
              </w:rPr>
            </w:pPr>
            <w:r>
              <w:rPr>
                <w:rFonts w:hint="eastAsia" w:ascii="宋体" w:hAnsi="宋体" w:cs="宋体"/>
                <w:szCs w:val="21"/>
              </w:rPr>
              <w:t>套</w:t>
            </w:r>
          </w:p>
        </w:tc>
      </w:tr>
      <w:tr w14:paraId="4E62AB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trHeight w:val="695" w:hRule="atLeast"/>
        </w:trPr>
        <w:tc>
          <w:tcPr>
            <w:tcW w:w="193" w:type="pct"/>
            <w:vAlign w:val="center"/>
          </w:tcPr>
          <w:p w14:paraId="7E95F590">
            <w:pPr>
              <w:jc w:val="center"/>
              <w:rPr>
                <w:rFonts w:hint="eastAsia" w:ascii="宋体" w:hAnsi="宋体" w:cs="宋体"/>
                <w:b/>
                <w:bCs/>
                <w:szCs w:val="21"/>
              </w:rPr>
            </w:pPr>
            <w:r>
              <w:rPr>
                <w:rFonts w:hint="eastAsia" w:ascii="宋体" w:hAnsi="宋体" w:cs="宋体"/>
                <w:szCs w:val="21"/>
              </w:rPr>
              <w:t>27</w:t>
            </w:r>
          </w:p>
        </w:tc>
        <w:tc>
          <w:tcPr>
            <w:tcW w:w="536" w:type="pct"/>
            <w:vAlign w:val="center"/>
          </w:tcPr>
          <w:p w14:paraId="59FA8A20">
            <w:pPr>
              <w:pStyle w:val="80"/>
              <w:jc w:val="center"/>
              <w:rPr>
                <w:rFonts w:hint="eastAsia" w:ascii="宋体" w:hAnsi="宋体" w:cs="宋体"/>
              </w:rPr>
            </w:pPr>
            <w:r>
              <w:rPr>
                <w:rFonts w:hint="eastAsia" w:ascii="宋体" w:hAnsi="宋体" w:cs="宋体"/>
              </w:rPr>
              <w:t>新能源汽车空调VR智能教学软件系统</w:t>
            </w:r>
          </w:p>
        </w:tc>
        <w:tc>
          <w:tcPr>
            <w:tcW w:w="3571" w:type="pct"/>
            <w:vAlign w:val="center"/>
          </w:tcPr>
          <w:p w14:paraId="7B91CE5B">
            <w:pPr>
              <w:pStyle w:val="80"/>
              <w:ind w:left="105" w:leftChars="50"/>
              <w:jc w:val="left"/>
              <w:rPr>
                <w:rFonts w:hint="eastAsia" w:ascii="宋体" w:hAnsi="宋体" w:cs="宋体"/>
              </w:rPr>
            </w:pPr>
            <w:r>
              <w:rPr>
                <w:rFonts w:hint="eastAsia" w:ascii="宋体" w:hAnsi="宋体" w:cs="宋体"/>
              </w:rPr>
              <w:t>一、产品简介及功能要求：</w:t>
            </w:r>
            <w:r>
              <w:rPr>
                <w:rFonts w:hint="eastAsia" w:ascii="宋体" w:hAnsi="宋体" w:cs="宋体"/>
              </w:rPr>
              <w:br w:type="textWrapping"/>
            </w:r>
            <w:r>
              <w:rPr>
                <w:rFonts w:hint="eastAsia" w:ascii="宋体" w:hAnsi="宋体" w:cs="宋体"/>
              </w:rPr>
              <w:t>1、VR虚拟现实的方式展示新能源汽车空调系统的结构原理以及在实车上的位置。从宏观到微观讲解新能源汽车，可以根据讲解进度进行同步实训、可以学习系统的基本原理、对所学内容及时考核。</w:t>
            </w:r>
            <w:r>
              <w:rPr>
                <w:rFonts w:hint="eastAsia" w:ascii="宋体" w:hAnsi="宋体" w:cs="宋体"/>
              </w:rPr>
              <w:br w:type="textWrapping"/>
            </w:r>
            <w:r>
              <w:rPr>
                <w:rFonts w:hint="eastAsia" w:ascii="宋体" w:hAnsi="宋体" w:cs="宋体"/>
              </w:rPr>
              <w:t>2、空调系统模块主要展示空调系统各部件的认知和结构原理，让学员对新能源汽车空调系统各零部件作用有个初步了解。</w:t>
            </w:r>
            <w:r>
              <w:rPr>
                <w:rFonts w:hint="eastAsia" w:ascii="宋体" w:hAnsi="宋体" w:cs="宋体"/>
              </w:rPr>
              <w:br w:type="textWrapping"/>
            </w:r>
            <w:r>
              <w:rPr>
                <w:rFonts w:hint="eastAsia" w:ascii="宋体" w:hAnsi="宋体" w:cs="宋体"/>
              </w:rPr>
              <w:t>3、通过1:1建模在3D环境内真实呈现了空调系统的基本结构，本空调制冷系统电动压缩机自动调节空调。此空调系统主要由电动压缩机、冷凝器、HVAC总成、制冷管路、PTC、暖风水管、风道、空调控制器等零部件组成，具有制冷、采暖、除霜除雾、通风换气四种功能。供暖系统：该系统利用 PTC水暖采暖，利用蒸汽压缩式制冷循环制冷，制冷剂为R410a，冷冻油为POE。控制方式为按键操纵式。自动空调箱体的模式风门、冷暖混合风门和内外循环风门都是电机控制。详细语音讲解及文字介绍。</w:t>
            </w:r>
            <w:r>
              <w:rPr>
                <w:rFonts w:hint="eastAsia" w:ascii="宋体" w:hAnsi="宋体" w:cs="宋体"/>
              </w:rPr>
              <w:br w:type="textWrapping"/>
            </w:r>
            <w:r>
              <w:rPr>
                <w:rFonts w:hint="eastAsia" w:ascii="宋体" w:hAnsi="宋体" w:cs="宋体"/>
              </w:rPr>
              <w:t>4、使用光标点击零部件，零部件能够变换颜色并自动讲解结构及作用。</w:t>
            </w:r>
            <w:r>
              <w:rPr>
                <w:rFonts w:hint="eastAsia" w:ascii="宋体" w:hAnsi="宋体" w:cs="宋体"/>
              </w:rPr>
              <w:br w:type="textWrapping"/>
            </w:r>
            <w:r>
              <w:rPr>
                <w:rFonts w:hint="eastAsia" w:ascii="宋体" w:hAnsi="宋体" w:cs="宋体"/>
              </w:rPr>
              <w:t>5、通过3D特效展示了空调系统内部结构及工作原理，可根据学习需要，重复学习重点或难懂的知识点。能够解决新能源汽车教学和实训中看不见、查不到、拆不开、无法重复使用等问题。</w:t>
            </w:r>
            <w:r>
              <w:rPr>
                <w:rFonts w:hint="eastAsia" w:ascii="宋体" w:hAnsi="宋体" w:cs="宋体"/>
              </w:rPr>
              <w:br w:type="textWrapping"/>
            </w:r>
            <w:r>
              <w:rPr>
                <w:rFonts w:hint="eastAsia" w:ascii="宋体" w:hAnsi="宋体" w:cs="宋体"/>
              </w:rPr>
              <w:t>6、配有答题模式，根据学生所学的知识进行考核，加深学生对所学章节的印象。系统根据本次所学得知生成试卷，通过语音读题、字幕同步显示、自动评判、错误提示、设有专门的功能区，并引导和鼓励学生再次学习。是学生主动学习并验证自己的学习效果。</w:t>
            </w:r>
          </w:p>
        </w:tc>
        <w:tc>
          <w:tcPr>
            <w:tcW w:w="357" w:type="pct"/>
            <w:vAlign w:val="center"/>
          </w:tcPr>
          <w:p w14:paraId="23A66602">
            <w:pPr>
              <w:jc w:val="center"/>
              <w:rPr>
                <w:rFonts w:hint="eastAsia" w:ascii="宋体" w:hAnsi="宋体" w:cs="宋体"/>
                <w:szCs w:val="21"/>
              </w:rPr>
            </w:pPr>
            <w:r>
              <w:rPr>
                <w:rFonts w:hint="eastAsia" w:ascii="宋体" w:hAnsi="宋体" w:cs="宋体"/>
                <w:szCs w:val="21"/>
              </w:rPr>
              <w:t>2</w:t>
            </w:r>
          </w:p>
        </w:tc>
        <w:tc>
          <w:tcPr>
            <w:tcW w:w="341" w:type="pct"/>
            <w:vAlign w:val="center"/>
          </w:tcPr>
          <w:p w14:paraId="41A41266">
            <w:pPr>
              <w:jc w:val="center"/>
              <w:rPr>
                <w:rFonts w:hint="eastAsia" w:ascii="宋体" w:hAnsi="宋体" w:cs="宋体"/>
                <w:szCs w:val="21"/>
              </w:rPr>
            </w:pPr>
            <w:r>
              <w:rPr>
                <w:rFonts w:hint="eastAsia" w:ascii="宋体" w:hAnsi="宋体" w:cs="宋体"/>
                <w:szCs w:val="21"/>
              </w:rPr>
              <w:t>套</w:t>
            </w:r>
          </w:p>
        </w:tc>
      </w:tr>
      <w:tr w14:paraId="363AF7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trHeight w:val="695" w:hRule="atLeast"/>
        </w:trPr>
        <w:tc>
          <w:tcPr>
            <w:tcW w:w="193" w:type="pct"/>
            <w:vAlign w:val="center"/>
          </w:tcPr>
          <w:p w14:paraId="3A534194">
            <w:pPr>
              <w:jc w:val="center"/>
              <w:rPr>
                <w:rFonts w:hint="eastAsia" w:ascii="宋体" w:hAnsi="宋体" w:cs="宋体"/>
                <w:b/>
                <w:bCs/>
                <w:szCs w:val="21"/>
              </w:rPr>
            </w:pPr>
            <w:r>
              <w:rPr>
                <w:rFonts w:hint="eastAsia" w:ascii="宋体" w:hAnsi="宋体" w:cs="宋体"/>
                <w:szCs w:val="21"/>
              </w:rPr>
              <w:t>28</w:t>
            </w:r>
          </w:p>
        </w:tc>
        <w:tc>
          <w:tcPr>
            <w:tcW w:w="536" w:type="pct"/>
            <w:vAlign w:val="center"/>
          </w:tcPr>
          <w:p w14:paraId="2707ADF9">
            <w:pPr>
              <w:pStyle w:val="80"/>
              <w:jc w:val="center"/>
              <w:rPr>
                <w:rFonts w:hint="eastAsia" w:ascii="宋体" w:hAnsi="宋体" w:cs="宋体"/>
              </w:rPr>
            </w:pPr>
            <w:r>
              <w:rPr>
                <w:rFonts w:hint="eastAsia" w:ascii="宋体" w:hAnsi="宋体" w:cs="宋体"/>
              </w:rPr>
              <w:t>新能源汽车高压控制器及高压安全VR智能教学软件系统</w:t>
            </w:r>
          </w:p>
        </w:tc>
        <w:tc>
          <w:tcPr>
            <w:tcW w:w="3571" w:type="pct"/>
            <w:vAlign w:val="center"/>
          </w:tcPr>
          <w:p w14:paraId="6CA9EFD0">
            <w:pPr>
              <w:pStyle w:val="80"/>
              <w:ind w:left="105" w:leftChars="50"/>
              <w:jc w:val="left"/>
              <w:rPr>
                <w:rFonts w:hint="eastAsia" w:ascii="宋体" w:hAnsi="宋体" w:cs="宋体"/>
              </w:rPr>
            </w:pPr>
            <w:r>
              <w:rPr>
                <w:rFonts w:hint="eastAsia" w:ascii="宋体" w:hAnsi="宋体" w:cs="宋体"/>
              </w:rPr>
              <w:t>一、产品简介及功能要求：</w:t>
            </w:r>
            <w:r>
              <w:rPr>
                <w:rFonts w:hint="eastAsia" w:ascii="宋体" w:hAnsi="宋体" w:cs="宋体"/>
              </w:rPr>
              <w:br w:type="textWrapping"/>
            </w:r>
            <w:r>
              <w:rPr>
                <w:rFonts w:hint="eastAsia" w:ascii="宋体" w:hAnsi="宋体" w:cs="宋体"/>
              </w:rPr>
              <w:t>1、VR虚拟现实的方式展示新能源汽车高压控制器的结构原理以及在实车上的位置。从宏观到微观讲解新能源汽车，可以根据讲解进度进行同步实训、可以学习系统的基本原理、对所学内容及时考核。</w:t>
            </w:r>
            <w:r>
              <w:rPr>
                <w:rFonts w:hint="eastAsia" w:ascii="宋体" w:hAnsi="宋体" w:cs="宋体"/>
              </w:rPr>
              <w:br w:type="textWrapping"/>
            </w:r>
            <w:r>
              <w:rPr>
                <w:rFonts w:hint="eastAsia" w:ascii="宋体" w:hAnsi="宋体" w:cs="宋体"/>
              </w:rPr>
              <w:t>2、高压控制器模块主要展示高压控制器各部件的认知和结构原理，代替老师讲解新能源汽车变速器机构各零部件作用。</w:t>
            </w:r>
            <w:r>
              <w:rPr>
                <w:rFonts w:hint="eastAsia" w:ascii="宋体" w:hAnsi="宋体" w:cs="宋体"/>
              </w:rPr>
              <w:br w:type="textWrapping"/>
            </w:r>
            <w:r>
              <w:rPr>
                <w:rFonts w:hint="eastAsia" w:ascii="宋体" w:hAnsi="宋体" w:cs="宋体"/>
              </w:rPr>
              <w:t>3、通过1:1建模在3D环境内真实呈现了高压控制器的基本结构，将高压控制器分解展示：主要有主接触器、交流充电接触器、直流充电正接触器、直流充电负接触器、主预充接触器、预充电阻、电容、DC/DC转换器、漏电传感器、电流传感器、定值电阻、空调保险、相线接触器、VTOG、IGBT、变频控制器、电容器电路板、交流充电机、电感线圈、电流传感器、N线交流接触器、导线连接器、导线连接片、交流接触器、控制电路板、电容、开关管、固定架、散热板、交流充电插孔、直流母线插孔等31个零部件。详细语音讲解及文字介绍。内置交直流充电、DCDC转换器、电机驱动和能量回收原理动画，通过生动的三维动画方式，还原真实的工作原理，使学员更容易学习。</w:t>
            </w:r>
            <w:r>
              <w:rPr>
                <w:rFonts w:hint="eastAsia" w:ascii="宋体" w:hAnsi="宋体" w:cs="宋体"/>
              </w:rPr>
              <w:br w:type="textWrapping"/>
            </w:r>
            <w:r>
              <w:rPr>
                <w:rFonts w:hint="eastAsia" w:ascii="宋体" w:hAnsi="宋体" w:cs="宋体"/>
              </w:rPr>
              <w:t>4、使用光标点击零部件，零部件能够变换颜色并自动语音讲解结构及作用。高压控制器可分为上下部，利用螺栓固定一起，其中上部分内集成有：高压配电系统DC/DC转换器、VTOG控制器及IGBT等构成。下部分集成交流充电机、电感线圈及控制电路。且在配电箱体内部设置水道，用来给高压配电箱散热。</w:t>
            </w:r>
            <w:r>
              <w:rPr>
                <w:rFonts w:hint="eastAsia" w:ascii="宋体" w:hAnsi="宋体" w:cs="宋体"/>
              </w:rPr>
              <w:br w:type="textWrapping"/>
            </w:r>
            <w:r>
              <w:rPr>
                <w:rFonts w:hint="eastAsia" w:ascii="宋体" w:hAnsi="宋体" w:cs="宋体"/>
              </w:rPr>
              <w:t>5、通过3D特效展示了高压控制器内部结构及工作原理，可根据学习需要，重复学习重点或难懂的知识点。能够解决新能源汽车教学和实训中看不见、查不到、拆不开、无法重复使用等问题。</w:t>
            </w:r>
            <w:r>
              <w:rPr>
                <w:rFonts w:hint="eastAsia" w:ascii="宋体" w:hAnsi="宋体" w:cs="宋体"/>
              </w:rPr>
              <w:br w:type="textWrapping"/>
            </w:r>
            <w:r>
              <w:rPr>
                <w:rFonts w:hint="eastAsia" w:ascii="宋体" w:hAnsi="宋体" w:cs="宋体"/>
              </w:rPr>
              <w:t>6、安全警示模块（通过动画模拟纯电动汽车，充电操作不规范造成的人身伤害，和拆卸配电箱元器件操作不规范造成的人身伤害以及正确操作流程）通过本系统学生可以认识到新能源汽车操作流程不规范所造成的故障的严重性，模拟在现实中容易发生的情况。</w:t>
            </w:r>
            <w:r>
              <w:rPr>
                <w:rFonts w:hint="eastAsia" w:ascii="宋体" w:hAnsi="宋体" w:cs="宋体"/>
              </w:rPr>
              <w:br w:type="textWrapping"/>
            </w:r>
            <w:r>
              <w:rPr>
                <w:rFonts w:hint="eastAsia" w:ascii="宋体" w:hAnsi="宋体" w:cs="宋体"/>
              </w:rPr>
              <w:t>7、配有答题模式，根据学生所学的知识进行考核，加深学生对所学章节的印象。系统根据本次所学得知生成试卷，通过语音读题、字幕同步显示、自动评判、错误提示、设有专门的功能区，并引导和鼓励学生再次学习。使学生主动学习并验证自己的学习效果。</w:t>
            </w:r>
          </w:p>
        </w:tc>
        <w:tc>
          <w:tcPr>
            <w:tcW w:w="357" w:type="pct"/>
            <w:vAlign w:val="center"/>
          </w:tcPr>
          <w:p w14:paraId="4E61EDE8">
            <w:pPr>
              <w:jc w:val="center"/>
              <w:rPr>
                <w:rFonts w:hint="eastAsia" w:ascii="宋体" w:hAnsi="宋体" w:cs="宋体"/>
                <w:szCs w:val="21"/>
              </w:rPr>
            </w:pPr>
            <w:r>
              <w:rPr>
                <w:rFonts w:hint="eastAsia" w:ascii="宋体" w:hAnsi="宋体" w:cs="宋体"/>
                <w:szCs w:val="21"/>
              </w:rPr>
              <w:t>2</w:t>
            </w:r>
          </w:p>
        </w:tc>
        <w:tc>
          <w:tcPr>
            <w:tcW w:w="341" w:type="pct"/>
            <w:vAlign w:val="center"/>
          </w:tcPr>
          <w:p w14:paraId="1DF0B420">
            <w:pPr>
              <w:jc w:val="center"/>
              <w:rPr>
                <w:rFonts w:hint="eastAsia" w:ascii="宋体" w:hAnsi="宋体" w:cs="宋体"/>
                <w:szCs w:val="21"/>
              </w:rPr>
            </w:pPr>
            <w:r>
              <w:rPr>
                <w:rFonts w:hint="eastAsia" w:ascii="宋体" w:hAnsi="宋体" w:cs="宋体"/>
                <w:szCs w:val="21"/>
              </w:rPr>
              <w:t>套</w:t>
            </w:r>
          </w:p>
        </w:tc>
      </w:tr>
      <w:tr w14:paraId="633EBF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trHeight w:val="695" w:hRule="atLeast"/>
        </w:trPr>
        <w:tc>
          <w:tcPr>
            <w:tcW w:w="193" w:type="pct"/>
            <w:vAlign w:val="center"/>
          </w:tcPr>
          <w:p w14:paraId="0F26AB97">
            <w:pPr>
              <w:jc w:val="center"/>
              <w:rPr>
                <w:rFonts w:hint="eastAsia" w:ascii="宋体" w:hAnsi="宋体" w:cs="宋体"/>
                <w:b/>
                <w:bCs/>
                <w:szCs w:val="21"/>
              </w:rPr>
            </w:pPr>
            <w:r>
              <w:rPr>
                <w:rFonts w:hint="eastAsia" w:ascii="宋体" w:hAnsi="宋体" w:cs="宋体"/>
                <w:szCs w:val="21"/>
              </w:rPr>
              <w:t>29</w:t>
            </w:r>
          </w:p>
        </w:tc>
        <w:tc>
          <w:tcPr>
            <w:tcW w:w="536" w:type="pct"/>
            <w:vAlign w:val="center"/>
          </w:tcPr>
          <w:p w14:paraId="59917F18">
            <w:pPr>
              <w:pStyle w:val="80"/>
              <w:jc w:val="center"/>
              <w:rPr>
                <w:rFonts w:hint="eastAsia" w:ascii="宋体" w:hAnsi="宋体" w:cs="宋体"/>
              </w:rPr>
            </w:pPr>
            <w:r>
              <w:rPr>
                <w:rFonts w:hint="eastAsia" w:ascii="宋体" w:hAnsi="宋体" w:cs="宋体"/>
              </w:rPr>
              <w:t>新能源汽车动力电池VR智能教学软件系统</w:t>
            </w:r>
          </w:p>
        </w:tc>
        <w:tc>
          <w:tcPr>
            <w:tcW w:w="3571" w:type="pct"/>
            <w:vAlign w:val="center"/>
          </w:tcPr>
          <w:p w14:paraId="2C3D6215">
            <w:pPr>
              <w:pStyle w:val="80"/>
              <w:jc w:val="left"/>
              <w:rPr>
                <w:rFonts w:hint="eastAsia" w:ascii="宋体" w:hAnsi="宋体" w:cs="宋体"/>
              </w:rPr>
            </w:pPr>
            <w:r>
              <w:rPr>
                <w:rFonts w:hint="eastAsia" w:ascii="宋体" w:hAnsi="宋体" w:cs="宋体"/>
              </w:rPr>
              <w:t>一、产品简介及功能要求：</w:t>
            </w:r>
            <w:r>
              <w:rPr>
                <w:rFonts w:hint="eastAsia" w:ascii="宋体" w:hAnsi="宋体" w:cs="宋体"/>
              </w:rPr>
              <w:br w:type="textWrapping"/>
            </w:r>
            <w:r>
              <w:rPr>
                <w:rFonts w:hint="eastAsia" w:ascii="宋体" w:hAnsi="宋体" w:cs="宋体"/>
              </w:rPr>
              <w:t>（1）、VR虚拟现实的方式展示新能源汽车动力电池的结构原理以及在实车上的位置。从宏观到微观讲解新能源汽车，可以根据讲解进度进行同步实训、可以学习系统的基本原理、对所学内容及时考核。</w:t>
            </w:r>
            <w:r>
              <w:rPr>
                <w:rFonts w:hint="eastAsia" w:ascii="宋体" w:hAnsi="宋体" w:cs="宋体"/>
              </w:rPr>
              <w:br w:type="textWrapping"/>
            </w:r>
            <w:r>
              <w:rPr>
                <w:rFonts w:hint="eastAsia" w:ascii="宋体" w:hAnsi="宋体" w:cs="宋体"/>
              </w:rPr>
              <w:t>（2）、动力电池模块主要展示动力电池各部件的认知和结构原理，代替老师讲解新能源汽车变速器机构各零部件作用。</w:t>
            </w:r>
            <w:r>
              <w:rPr>
                <w:rFonts w:hint="eastAsia" w:ascii="宋体" w:hAnsi="宋体" w:cs="宋体"/>
              </w:rPr>
              <w:br w:type="textWrapping"/>
            </w:r>
            <w:r>
              <w:rPr>
                <w:rFonts w:hint="eastAsia" w:ascii="宋体" w:hAnsi="宋体" w:cs="宋体"/>
              </w:rPr>
              <w:t>（3）、通过1:1建模在3D环境内真实呈现了动力电池的基本结构，将电池分解展示为:电池单体、连接片、连接螺栓、温度传感器、分采集控制单元、保险丝、控制继电器（维修开关）、BMS单元、电池盖板、电池护板等15个零部件。详细语音讲解及文字介绍。内置高温管理、低温管理、过压管理、欠压管理、过冲管理和过放管理，通过生动的三维动画方式，还原真实的工作原理，使学员更容易学习。</w:t>
            </w:r>
            <w:r>
              <w:rPr>
                <w:rFonts w:hint="eastAsia" w:ascii="宋体" w:hAnsi="宋体" w:cs="宋体"/>
              </w:rPr>
              <w:br w:type="textWrapping"/>
            </w:r>
            <w:r>
              <w:rPr>
                <w:rFonts w:hint="eastAsia" w:ascii="宋体" w:hAnsi="宋体" w:cs="宋体"/>
              </w:rPr>
              <w:t>（4）、使用光标点击零部件，零部件能够变换颜色并自动语音讲解结构及作用。</w:t>
            </w:r>
            <w:r>
              <w:rPr>
                <w:rFonts w:hint="eastAsia" w:ascii="宋体" w:hAnsi="宋体" w:cs="宋体"/>
              </w:rPr>
              <w:br w:type="textWrapping"/>
            </w:r>
            <w:r>
              <w:rPr>
                <w:rFonts w:hint="eastAsia" w:ascii="宋体" w:hAnsi="宋体" w:cs="宋体"/>
              </w:rPr>
              <w:t>（5）、通过3D特效展示了动力电池内部结构及工作原理，可根据学习需要，重复学习重点或难懂的知识点。能够解决新能源汽车教学和实训中看不见、查不到、拆不开、无法重复使用等问题。</w:t>
            </w:r>
            <w:r>
              <w:rPr>
                <w:rFonts w:hint="eastAsia" w:ascii="宋体" w:hAnsi="宋体" w:cs="宋体"/>
              </w:rPr>
              <w:br w:type="textWrapping"/>
            </w:r>
            <w:r>
              <w:rPr>
                <w:rFonts w:hint="eastAsia" w:ascii="宋体" w:hAnsi="宋体" w:cs="宋体"/>
              </w:rPr>
              <w:t>（6）、配有答题模式，根据学生所学的知识进行考核，加深学生对所学章节的印象。系统根据本次所学得知生成试卷，通过语音读题、字幕同步显示、自动评判、错误提示、设有专门的功能区，并引导和鼓励学生再次学习。使学生主动学习并验证自己的学习效果。</w:t>
            </w:r>
          </w:p>
          <w:p w14:paraId="3DC5A13F">
            <w:pPr>
              <w:rPr>
                <w:rFonts w:hint="eastAsia" w:ascii="宋体" w:hAnsi="宋体" w:cs="宋体"/>
              </w:rPr>
            </w:pPr>
          </w:p>
        </w:tc>
        <w:tc>
          <w:tcPr>
            <w:tcW w:w="357" w:type="pct"/>
            <w:vAlign w:val="center"/>
          </w:tcPr>
          <w:p w14:paraId="61C7CC72">
            <w:pPr>
              <w:jc w:val="center"/>
              <w:rPr>
                <w:rFonts w:hint="eastAsia" w:ascii="宋体" w:hAnsi="宋体" w:cs="宋体"/>
                <w:szCs w:val="21"/>
              </w:rPr>
            </w:pPr>
            <w:r>
              <w:rPr>
                <w:rFonts w:hint="eastAsia" w:ascii="宋体" w:hAnsi="宋体" w:cs="宋体"/>
                <w:szCs w:val="21"/>
              </w:rPr>
              <w:t>2</w:t>
            </w:r>
          </w:p>
        </w:tc>
        <w:tc>
          <w:tcPr>
            <w:tcW w:w="341" w:type="pct"/>
            <w:vAlign w:val="center"/>
          </w:tcPr>
          <w:p w14:paraId="48FB1418">
            <w:pPr>
              <w:jc w:val="center"/>
              <w:rPr>
                <w:rFonts w:hint="eastAsia" w:ascii="宋体" w:hAnsi="宋体" w:cs="宋体"/>
                <w:szCs w:val="21"/>
              </w:rPr>
            </w:pPr>
            <w:r>
              <w:rPr>
                <w:rFonts w:hint="eastAsia" w:ascii="宋体" w:hAnsi="宋体" w:cs="宋体"/>
                <w:szCs w:val="21"/>
              </w:rPr>
              <w:t>套</w:t>
            </w:r>
          </w:p>
        </w:tc>
      </w:tr>
      <w:tr w14:paraId="78537E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trHeight w:val="695" w:hRule="atLeast"/>
        </w:trPr>
        <w:tc>
          <w:tcPr>
            <w:tcW w:w="193" w:type="pct"/>
            <w:vAlign w:val="center"/>
          </w:tcPr>
          <w:p w14:paraId="79332F01">
            <w:pPr>
              <w:jc w:val="center"/>
              <w:rPr>
                <w:rFonts w:hint="eastAsia" w:ascii="宋体" w:hAnsi="宋体" w:cs="宋体"/>
                <w:b/>
                <w:bCs/>
                <w:szCs w:val="21"/>
              </w:rPr>
            </w:pPr>
            <w:r>
              <w:rPr>
                <w:rFonts w:hint="eastAsia" w:ascii="宋体" w:hAnsi="宋体" w:cs="宋体"/>
                <w:szCs w:val="21"/>
              </w:rPr>
              <w:t>30</w:t>
            </w:r>
          </w:p>
        </w:tc>
        <w:tc>
          <w:tcPr>
            <w:tcW w:w="536" w:type="pct"/>
            <w:vAlign w:val="center"/>
          </w:tcPr>
          <w:p w14:paraId="3B9F33CC">
            <w:pPr>
              <w:pStyle w:val="80"/>
              <w:jc w:val="center"/>
              <w:rPr>
                <w:rFonts w:hint="eastAsia" w:ascii="宋体" w:hAnsi="宋体" w:cs="宋体"/>
              </w:rPr>
            </w:pPr>
            <w:r>
              <w:rPr>
                <w:rFonts w:hint="eastAsia" w:ascii="宋体" w:hAnsi="宋体" w:cs="宋体"/>
              </w:rPr>
              <w:t>VR头戴显示器</w:t>
            </w:r>
          </w:p>
        </w:tc>
        <w:tc>
          <w:tcPr>
            <w:tcW w:w="3571" w:type="pct"/>
            <w:vAlign w:val="center"/>
          </w:tcPr>
          <w:p w14:paraId="6592EB74">
            <w:pPr>
              <w:pStyle w:val="80"/>
              <w:ind w:left="105" w:leftChars="50"/>
              <w:jc w:val="left"/>
              <w:rPr>
                <w:rFonts w:hint="eastAsia" w:ascii="宋体" w:hAnsi="宋体" w:cs="宋体"/>
              </w:rPr>
            </w:pPr>
            <w:r>
              <w:rPr>
                <w:rFonts w:hint="eastAsia" w:ascii="宋体" w:hAnsi="宋体" w:cs="宋体"/>
              </w:rPr>
              <w:t>大项 小项 参数</w:t>
            </w:r>
            <w:r>
              <w:rPr>
                <w:rFonts w:hint="eastAsia" w:ascii="宋体" w:hAnsi="宋体" w:cs="宋体"/>
              </w:rPr>
              <w:br w:type="textWrapping"/>
            </w:r>
            <w:r>
              <w:rPr>
                <w:rFonts w:hint="eastAsia" w:ascii="宋体" w:hAnsi="宋体" w:cs="宋体"/>
              </w:rPr>
              <w:t>计算平台 CPU 高通XR2，Kryo 585核心，8核64位，最高主频 2.84GHz，7nm制程工艺</w:t>
            </w:r>
            <w:r>
              <w:rPr>
                <w:rFonts w:hint="eastAsia" w:ascii="宋体" w:hAnsi="宋体" w:cs="宋体"/>
              </w:rPr>
              <w:br w:type="textWrapping"/>
            </w:r>
            <w:r>
              <w:rPr>
                <w:rFonts w:hint="eastAsia" w:ascii="宋体" w:hAnsi="宋体" w:cs="宋体"/>
              </w:rPr>
              <w:t>GPU Adreno 650，主频 587MHz</w:t>
            </w:r>
            <w:r>
              <w:rPr>
                <w:rFonts w:hint="eastAsia" w:ascii="宋体" w:hAnsi="宋体" w:cs="宋体"/>
              </w:rPr>
              <w:br w:type="textWrapping"/>
            </w:r>
            <w:r>
              <w:rPr>
                <w:rFonts w:hint="eastAsia" w:ascii="宋体" w:hAnsi="宋体" w:cs="宋体"/>
              </w:rPr>
              <w:t>内存 8GB RAM，LPDDR5，6400MHz</w:t>
            </w:r>
            <w:r>
              <w:rPr>
                <w:rFonts w:hint="eastAsia" w:ascii="宋体" w:hAnsi="宋体" w:cs="宋体"/>
              </w:rPr>
              <w:br w:type="textWrapping"/>
            </w:r>
            <w:r>
              <w:rPr>
                <w:rFonts w:hint="eastAsia" w:ascii="宋体" w:hAnsi="宋体" w:cs="宋体"/>
              </w:rPr>
              <w:t>闪存 UFS3.1 256GB</w:t>
            </w:r>
            <w:r>
              <w:rPr>
                <w:rFonts w:hint="eastAsia" w:ascii="宋体" w:hAnsi="宋体" w:cs="宋体"/>
              </w:rPr>
              <w:br w:type="textWrapping"/>
            </w:r>
            <w:r>
              <w:rPr>
                <w:rFonts w:hint="eastAsia" w:ascii="宋体" w:hAnsi="宋体" w:cs="宋体"/>
              </w:rPr>
              <w:t>Wi-Fi Wi-Fi 6，2X2 MIMO，802.11 a/b/g/n/ac/ax，2.4G/5G双频</w:t>
            </w:r>
            <w:r>
              <w:rPr>
                <w:rFonts w:hint="eastAsia" w:ascii="宋体" w:hAnsi="宋体" w:cs="宋体"/>
              </w:rPr>
              <w:br w:type="textWrapping"/>
            </w:r>
            <w:r>
              <w:rPr>
                <w:rFonts w:hint="eastAsia" w:ascii="宋体" w:hAnsi="宋体" w:cs="宋体"/>
              </w:rPr>
              <w:t>BT BT5.1</w:t>
            </w:r>
            <w:r>
              <w:rPr>
                <w:rFonts w:hint="eastAsia" w:ascii="宋体" w:hAnsi="宋体" w:cs="宋体"/>
              </w:rPr>
              <w:br w:type="textWrapping"/>
            </w:r>
            <w:r>
              <w:rPr>
                <w:rFonts w:hint="eastAsia" w:ascii="宋体" w:hAnsi="宋体" w:cs="宋体"/>
              </w:rPr>
              <w:t xml:space="preserve">Android Android 10 </w:t>
            </w:r>
            <w:r>
              <w:rPr>
                <w:rFonts w:hint="eastAsia" w:ascii="宋体" w:hAnsi="宋体" w:cs="宋体"/>
              </w:rPr>
              <w:br w:type="textWrapping"/>
            </w:r>
            <w:r>
              <w:rPr>
                <w:rFonts w:hint="eastAsia" w:ascii="宋体" w:hAnsi="宋体" w:cs="宋体"/>
              </w:rPr>
              <w:t>SDK PICO SDK</w:t>
            </w:r>
            <w:r>
              <w:rPr>
                <w:rFonts w:hint="eastAsia" w:ascii="宋体" w:hAnsi="宋体" w:cs="宋体"/>
              </w:rPr>
              <w:br w:type="textWrapping"/>
            </w:r>
            <w:r>
              <w:rPr>
                <w:rFonts w:hint="eastAsia" w:ascii="宋体" w:hAnsi="宋体" w:cs="宋体"/>
              </w:rPr>
              <w:t>显示 屏幕 2.56" x 2</w:t>
            </w:r>
            <w:r>
              <w:rPr>
                <w:rFonts w:hint="eastAsia" w:ascii="宋体" w:hAnsi="宋体" w:cs="宋体"/>
              </w:rPr>
              <w:br w:type="textWrapping"/>
            </w:r>
            <w:r>
              <w:rPr>
                <w:rFonts w:hint="eastAsia" w:ascii="宋体" w:hAnsi="宋体" w:cs="宋体"/>
              </w:rPr>
              <w:t>分辨率 总分辨率 4320x2160，单眼分辨率2160x2160，1200 PPI</w:t>
            </w:r>
            <w:r>
              <w:rPr>
                <w:rFonts w:hint="eastAsia" w:ascii="宋体" w:hAnsi="宋体" w:cs="宋体"/>
              </w:rPr>
              <w:br w:type="textWrapping"/>
            </w:r>
            <w:r>
              <w:rPr>
                <w:rFonts w:hint="eastAsia" w:ascii="宋体" w:hAnsi="宋体" w:cs="宋体"/>
              </w:rPr>
              <w:t>刷新率 72/90Hz</w:t>
            </w:r>
            <w:r>
              <w:rPr>
                <w:rFonts w:hint="eastAsia" w:ascii="宋体" w:hAnsi="宋体" w:cs="宋体"/>
              </w:rPr>
              <w:br w:type="textWrapping"/>
            </w:r>
            <w:r>
              <w:rPr>
                <w:rFonts w:hint="eastAsia" w:ascii="宋体" w:hAnsi="宋体" w:cs="宋体"/>
              </w:rPr>
              <w:t>亮度 无极调节</w:t>
            </w:r>
            <w:r>
              <w:rPr>
                <w:rFonts w:hint="eastAsia" w:ascii="宋体" w:hAnsi="宋体" w:cs="宋体"/>
              </w:rPr>
              <w:br w:type="textWrapping"/>
            </w:r>
            <w:r>
              <w:rPr>
                <w:rFonts w:hint="eastAsia" w:ascii="宋体" w:hAnsi="宋体" w:cs="宋体"/>
              </w:rPr>
              <w:t>光学 视场角 105°</w:t>
            </w:r>
            <w:r>
              <w:rPr>
                <w:rFonts w:hint="eastAsia" w:ascii="宋体" w:hAnsi="宋体" w:cs="宋体"/>
              </w:rPr>
              <w:br w:type="textWrapping"/>
            </w:r>
            <w:r>
              <w:rPr>
                <w:rFonts w:hint="eastAsia" w:ascii="宋体" w:hAnsi="宋体" w:cs="宋体"/>
              </w:rPr>
              <w:t>透镜 Pancake，PMMA材质</w:t>
            </w:r>
            <w:r>
              <w:rPr>
                <w:rFonts w:hint="eastAsia" w:ascii="宋体" w:hAnsi="宋体" w:cs="宋体"/>
              </w:rPr>
              <w:br w:type="textWrapping"/>
            </w:r>
            <w:r>
              <w:rPr>
                <w:rFonts w:hint="eastAsia" w:ascii="宋体" w:hAnsi="宋体" w:cs="宋体"/>
              </w:rPr>
              <w:t>护眼模式 TÜV 低蓝光认证（软件设定）</w:t>
            </w:r>
            <w:r>
              <w:rPr>
                <w:rFonts w:hint="eastAsia" w:ascii="宋体" w:hAnsi="宋体" w:cs="宋体"/>
              </w:rPr>
              <w:br w:type="textWrapping"/>
            </w:r>
            <w:r>
              <w:rPr>
                <w:rFonts w:hint="eastAsia" w:ascii="宋体" w:hAnsi="宋体" w:cs="宋体"/>
              </w:rPr>
              <w:t>近视调节 不支持，需佩戴眼镜使用。同时支持配方镜片的快速安装和拆除设计。</w:t>
            </w:r>
            <w:r>
              <w:rPr>
                <w:rFonts w:hint="eastAsia" w:ascii="宋体" w:hAnsi="宋体" w:cs="宋体"/>
              </w:rPr>
              <w:br w:type="textWrapping"/>
            </w:r>
            <w:r>
              <w:rPr>
                <w:rFonts w:hint="eastAsia" w:ascii="宋体" w:hAnsi="宋体" w:cs="宋体"/>
              </w:rPr>
              <w:t>瞳距调节 支持软件电动调节和眼球追踪自动调节，范围：62mm~72mm</w:t>
            </w:r>
            <w:r>
              <w:rPr>
                <w:rFonts w:hint="eastAsia" w:ascii="宋体" w:hAnsi="宋体" w:cs="宋体"/>
              </w:rPr>
              <w:br w:type="textWrapping"/>
            </w:r>
            <w:r>
              <w:rPr>
                <w:rFonts w:hint="eastAsia" w:ascii="宋体" w:hAnsi="宋体" w:cs="宋体"/>
              </w:rPr>
              <w:t>传感器 9轴传感器 实现头部精准3DoF和6DoF，1KHz采样频率</w:t>
            </w:r>
            <w:r>
              <w:rPr>
                <w:rFonts w:hint="eastAsia" w:ascii="宋体" w:hAnsi="宋体" w:cs="宋体"/>
              </w:rPr>
              <w:br w:type="textWrapping"/>
            </w:r>
            <w:r>
              <w:rPr>
                <w:rFonts w:hint="eastAsia" w:ascii="宋体" w:hAnsi="宋体" w:cs="宋体"/>
              </w:rPr>
              <w:t>P-Senor 人脸佩戴感应</w:t>
            </w:r>
            <w:r>
              <w:rPr>
                <w:rFonts w:hint="eastAsia" w:ascii="宋体" w:hAnsi="宋体" w:cs="宋体"/>
              </w:rPr>
              <w:br w:type="textWrapping"/>
            </w:r>
            <w:r>
              <w:rPr>
                <w:rFonts w:hint="eastAsia" w:ascii="宋体" w:hAnsi="宋体" w:cs="宋体"/>
              </w:rPr>
              <w:t>Hall Senor 检测两个镜筒的实际间距，即瞳距数值</w:t>
            </w:r>
            <w:r>
              <w:rPr>
                <w:rFonts w:hint="eastAsia" w:ascii="宋体" w:hAnsi="宋体" w:cs="宋体"/>
              </w:rPr>
              <w:br w:type="textWrapping"/>
            </w:r>
            <w:r>
              <w:rPr>
                <w:rFonts w:hint="eastAsia" w:ascii="宋体" w:hAnsi="宋体" w:cs="宋体"/>
              </w:rPr>
              <w:t>电机驱动器 驱动两个镜筒按用户的实际瞳距进行自动调节</w:t>
            </w:r>
            <w:r>
              <w:rPr>
                <w:rFonts w:hint="eastAsia" w:ascii="宋体" w:hAnsi="宋体" w:cs="宋体"/>
              </w:rPr>
              <w:br w:type="textWrapping"/>
            </w:r>
            <w:r>
              <w:rPr>
                <w:rFonts w:hint="eastAsia" w:ascii="宋体" w:hAnsi="宋体" w:cs="宋体"/>
              </w:rPr>
              <w:t>摄像头 四目单色鱼眼 四目单色鱼眼VGA640*480@60Hz，H157°/V116°</w:t>
            </w:r>
            <w:r>
              <w:rPr>
                <w:rFonts w:hint="eastAsia" w:ascii="宋体" w:hAnsi="宋体" w:cs="宋体"/>
              </w:rPr>
              <w:br w:type="textWrapping"/>
            </w:r>
            <w:r>
              <w:rPr>
                <w:rFonts w:hint="eastAsia" w:ascii="宋体" w:hAnsi="宋体" w:cs="宋体"/>
              </w:rPr>
              <w:t>单目RGB摄像头 IMX 471 16M定焦，H130°/V115°</w:t>
            </w:r>
            <w:r>
              <w:rPr>
                <w:rFonts w:hint="eastAsia" w:ascii="宋体" w:hAnsi="宋体" w:cs="宋体"/>
              </w:rPr>
              <w:br w:type="textWrapping"/>
            </w:r>
            <w:r>
              <w:rPr>
                <w:rFonts w:hint="eastAsia" w:ascii="宋体" w:hAnsi="宋体" w:cs="宋体"/>
              </w:rPr>
              <w:t>分辨率：4656*3496@30Hz，2328*1748@60Hz（透视）</w:t>
            </w:r>
            <w:r>
              <w:rPr>
                <w:rFonts w:hint="eastAsia" w:ascii="宋体" w:hAnsi="宋体" w:cs="宋体"/>
              </w:rPr>
              <w:br w:type="textWrapping"/>
            </w:r>
            <w:r>
              <w:rPr>
                <w:rFonts w:hint="eastAsia" w:ascii="宋体" w:hAnsi="宋体" w:cs="宋体"/>
              </w:rPr>
              <w:t>眼动追踪摄像头 双目红外VGA, OV6211 400*400@60/90 Hz，H70°/V70°</w:t>
            </w:r>
            <w:r>
              <w:rPr>
                <w:rFonts w:hint="eastAsia" w:ascii="宋体" w:hAnsi="宋体" w:cs="宋体"/>
              </w:rPr>
              <w:br w:type="textWrapping"/>
            </w:r>
            <w:r>
              <w:rPr>
                <w:rFonts w:hint="eastAsia" w:ascii="宋体" w:hAnsi="宋体" w:cs="宋体"/>
              </w:rPr>
              <w:t>面部追踪摄像头 单目红外VGA, OV6211 400*400@60/90 Hz，H70°/V70°</w:t>
            </w:r>
            <w:r>
              <w:rPr>
                <w:rFonts w:hint="eastAsia" w:ascii="宋体" w:hAnsi="宋体" w:cs="宋体"/>
              </w:rPr>
              <w:br w:type="textWrapping"/>
            </w:r>
            <w:r>
              <w:rPr>
                <w:rFonts w:hint="eastAsia" w:ascii="宋体" w:hAnsi="宋体" w:cs="宋体"/>
              </w:rPr>
              <w:t>交互 头盔 Inside-out头部6DoF，高清彩色透视和多房间护导系统，手势识别，眼球追踪，面部识别</w:t>
            </w:r>
            <w:r>
              <w:rPr>
                <w:rFonts w:hint="eastAsia" w:ascii="宋体" w:hAnsi="宋体" w:cs="宋体"/>
              </w:rPr>
              <w:br w:type="textWrapping"/>
            </w:r>
            <w:r>
              <w:rPr>
                <w:rFonts w:hint="eastAsia" w:ascii="宋体" w:hAnsi="宋体" w:cs="宋体"/>
              </w:rPr>
              <w:t>手柄 6DoF宽屏触感手柄x2</w:t>
            </w:r>
            <w:r>
              <w:rPr>
                <w:rFonts w:hint="eastAsia" w:ascii="宋体" w:hAnsi="宋体" w:cs="宋体"/>
              </w:rPr>
              <w:br w:type="textWrapping"/>
            </w:r>
            <w:r>
              <w:rPr>
                <w:rFonts w:hint="eastAsia" w:ascii="宋体" w:hAnsi="宋体" w:cs="宋体"/>
              </w:rPr>
              <w:t>手势识别 双手28自由度追踪，支持5种手势模型</w:t>
            </w:r>
            <w:r>
              <w:rPr>
                <w:rFonts w:hint="eastAsia" w:ascii="宋体" w:hAnsi="宋体" w:cs="宋体"/>
              </w:rPr>
              <w:br w:type="textWrapping"/>
            </w:r>
            <w:r>
              <w:rPr>
                <w:rFonts w:hint="eastAsia" w:ascii="宋体" w:hAnsi="宋体" w:cs="宋体"/>
              </w:rPr>
              <w:t>机身按键 电源键/音量+/音量-</w:t>
            </w:r>
            <w:r>
              <w:rPr>
                <w:rFonts w:hint="eastAsia" w:ascii="宋体" w:hAnsi="宋体" w:cs="宋体"/>
              </w:rPr>
              <w:br w:type="textWrapping"/>
            </w:r>
            <w:r>
              <w:rPr>
                <w:rFonts w:hint="eastAsia" w:ascii="宋体" w:hAnsi="宋体" w:cs="宋体"/>
              </w:rPr>
              <w:t>设计与人体工程 绑带 硬质可旋转侧绑带，单手旋钮调节，可拆卸顶绑带</w:t>
            </w:r>
            <w:r>
              <w:rPr>
                <w:rFonts w:hint="eastAsia" w:ascii="宋体" w:hAnsi="宋体" w:cs="宋体"/>
              </w:rPr>
              <w:br w:type="textWrapping"/>
            </w:r>
            <w:r>
              <w:rPr>
                <w:rFonts w:hint="eastAsia" w:ascii="宋体" w:hAnsi="宋体" w:cs="宋体"/>
              </w:rPr>
              <w:t>泡棉 独立可替换的PU贴脸泡棉</w:t>
            </w:r>
            <w:r>
              <w:rPr>
                <w:rFonts w:hint="eastAsia" w:ascii="宋体" w:hAnsi="宋体" w:cs="宋体"/>
              </w:rPr>
              <w:br w:type="textWrapping"/>
            </w:r>
            <w:r>
              <w:rPr>
                <w:rFonts w:hint="eastAsia" w:ascii="宋体" w:hAnsi="宋体" w:cs="宋体"/>
              </w:rPr>
              <w:t>散热 内含静音风扇，透气设计，佩戴体验更清爽，不易起雾</w:t>
            </w:r>
            <w:r>
              <w:rPr>
                <w:rFonts w:hint="eastAsia" w:ascii="宋体" w:hAnsi="宋体" w:cs="宋体"/>
              </w:rPr>
              <w:br w:type="textWrapping"/>
            </w:r>
            <w:r>
              <w:rPr>
                <w:rFonts w:hint="eastAsia" w:ascii="宋体" w:hAnsi="宋体" w:cs="宋体"/>
              </w:rPr>
              <w:t>人体工程设计 前置头盔和后置电池组成更为合理的力学分担设计，佩戴面部舒适</w:t>
            </w:r>
            <w:r>
              <w:rPr>
                <w:rFonts w:hint="eastAsia" w:ascii="宋体" w:hAnsi="宋体" w:cs="宋体"/>
              </w:rPr>
              <w:br w:type="textWrapping"/>
            </w:r>
            <w:r>
              <w:rPr>
                <w:rFonts w:hint="eastAsia" w:ascii="宋体" w:hAnsi="宋体" w:cs="宋体"/>
              </w:rPr>
              <w:t>电源 充电 高通平台快充QC 3.0，USB PD快充3.0</w:t>
            </w:r>
            <w:r>
              <w:rPr>
                <w:rFonts w:hint="eastAsia" w:ascii="宋体" w:hAnsi="宋体" w:cs="宋体"/>
              </w:rPr>
              <w:br w:type="textWrapping"/>
            </w:r>
            <w:r>
              <w:rPr>
                <w:rFonts w:hint="eastAsia" w:ascii="宋体" w:hAnsi="宋体" w:cs="宋体"/>
              </w:rPr>
              <w:t>电池容量 5300mAh</w:t>
            </w:r>
            <w:r>
              <w:rPr>
                <w:rFonts w:hint="eastAsia" w:ascii="宋体" w:hAnsi="宋体" w:cs="宋体"/>
              </w:rPr>
              <w:br w:type="textWrapping"/>
            </w:r>
            <w:r>
              <w:rPr>
                <w:rFonts w:hint="eastAsia" w:ascii="宋体" w:hAnsi="宋体" w:cs="宋体"/>
              </w:rPr>
              <w:t>接口 扬声器 360°环绕一体式立体声喇叭，支持3D空间音效；低频低至200Hz</w:t>
            </w:r>
            <w:r>
              <w:rPr>
                <w:rFonts w:hint="eastAsia" w:ascii="宋体" w:hAnsi="宋体" w:cs="宋体"/>
              </w:rPr>
              <w:br w:type="textWrapping"/>
            </w:r>
            <w:r>
              <w:rPr>
                <w:rFonts w:hint="eastAsia" w:ascii="宋体" w:hAnsi="宋体" w:cs="宋体"/>
              </w:rPr>
              <w:t>麦克风 全指向双麦克风布局，高达30db环境噪声抑制和50db回声抑制，实现清晰通话质量</w:t>
            </w:r>
            <w:r>
              <w:rPr>
                <w:rFonts w:hint="eastAsia" w:ascii="宋体" w:hAnsi="宋体" w:cs="宋体"/>
              </w:rPr>
              <w:br w:type="textWrapping"/>
            </w:r>
            <w:r>
              <w:rPr>
                <w:rFonts w:hint="eastAsia" w:ascii="宋体" w:hAnsi="宋体" w:cs="宋体"/>
              </w:rPr>
              <w:t>USB Type-C 3.0 USB 3.0数据传输（需单独购买，标配数据线仅支持USB 2.0）</w:t>
            </w:r>
            <w:r>
              <w:rPr>
                <w:rFonts w:hint="eastAsia" w:ascii="宋体" w:hAnsi="宋体" w:cs="宋体"/>
              </w:rPr>
              <w:br w:type="textWrapping"/>
            </w:r>
            <w:r>
              <w:rPr>
                <w:rFonts w:hint="eastAsia" w:ascii="宋体" w:hAnsi="宋体" w:cs="宋体"/>
              </w:rPr>
              <w:t>5V/1A OTG扩展供电能力</w:t>
            </w:r>
            <w:r>
              <w:rPr>
                <w:rFonts w:hint="eastAsia" w:ascii="宋体" w:hAnsi="宋体" w:cs="宋体"/>
              </w:rPr>
              <w:br w:type="textWrapping"/>
            </w:r>
            <w:r>
              <w:rPr>
                <w:rFonts w:hint="eastAsia" w:ascii="宋体" w:hAnsi="宋体" w:cs="宋体"/>
              </w:rPr>
              <w:t>USB 3.0 OTG扩展功能（需单独购买USB 3.0 OTG转接线）</w:t>
            </w:r>
            <w:r>
              <w:rPr>
                <w:rFonts w:hint="eastAsia" w:ascii="宋体" w:hAnsi="宋体" w:cs="宋体"/>
              </w:rPr>
              <w:br w:type="textWrapping"/>
            </w:r>
            <w:r>
              <w:rPr>
                <w:rFonts w:hint="eastAsia" w:ascii="宋体" w:hAnsi="宋体" w:cs="宋体"/>
              </w:rPr>
              <w:t>LED指示灯 三色LED，显示开机、关机、充电状态</w:t>
            </w:r>
            <w:r>
              <w:rPr>
                <w:rFonts w:hint="eastAsia" w:ascii="宋体" w:hAnsi="宋体" w:cs="宋体"/>
              </w:rPr>
              <w:br w:type="textWrapping"/>
            </w:r>
            <w:r>
              <w:rPr>
                <w:rFonts w:hint="eastAsia" w:ascii="宋体" w:hAnsi="宋体" w:cs="宋体"/>
              </w:rPr>
              <w:t>手柄 追踪技术 红外，20只</w:t>
            </w:r>
            <w:r>
              <w:rPr>
                <w:rFonts w:hint="eastAsia" w:ascii="宋体" w:hAnsi="宋体" w:cs="宋体"/>
              </w:rPr>
              <w:br w:type="textWrapping"/>
            </w:r>
            <w:r>
              <w:rPr>
                <w:rFonts w:hint="eastAsia" w:ascii="宋体" w:hAnsi="宋体" w:cs="宋体"/>
              </w:rPr>
              <w:t>传感器 6轴传感器</w:t>
            </w:r>
            <w:r>
              <w:rPr>
                <w:rFonts w:hint="eastAsia" w:ascii="宋体" w:hAnsi="宋体" w:cs="宋体"/>
              </w:rPr>
              <w:br w:type="textWrapping"/>
            </w:r>
            <w:r>
              <w:rPr>
                <w:rFonts w:hint="eastAsia" w:ascii="宋体" w:hAnsi="宋体" w:cs="宋体"/>
              </w:rPr>
              <w:t>电机 宽频马达，50~500Hz，F0 65Hz最大振动量2.5G</w:t>
            </w:r>
            <w:r>
              <w:rPr>
                <w:rFonts w:hint="eastAsia" w:ascii="宋体" w:hAnsi="宋体" w:cs="宋体"/>
              </w:rPr>
              <w:br w:type="textWrapping"/>
            </w:r>
            <w:r>
              <w:rPr>
                <w:rFonts w:hint="eastAsia" w:ascii="宋体" w:hAnsi="宋体" w:cs="宋体"/>
              </w:rPr>
              <w:t>蓝牙 5.1</w:t>
            </w:r>
            <w:r>
              <w:rPr>
                <w:rFonts w:hint="eastAsia" w:ascii="宋体" w:hAnsi="宋体" w:cs="宋体"/>
              </w:rPr>
              <w:br w:type="textWrapping"/>
            </w:r>
            <w:r>
              <w:rPr>
                <w:rFonts w:hint="eastAsia" w:ascii="宋体" w:hAnsi="宋体" w:cs="宋体"/>
              </w:rPr>
              <w:t>按键 摇杆键/扳机键/抓握键/菜单键/截录屏键/Home键/X/Y（左手）/A/B（右手）</w:t>
            </w:r>
            <w:r>
              <w:rPr>
                <w:rFonts w:hint="eastAsia" w:ascii="宋体" w:hAnsi="宋体" w:cs="宋体"/>
              </w:rPr>
              <w:br w:type="textWrapping"/>
            </w:r>
            <w:r>
              <w:rPr>
                <w:rFonts w:hint="eastAsia" w:ascii="宋体" w:hAnsi="宋体" w:cs="宋体"/>
              </w:rPr>
              <w:t>电池 2节1.5V AA碱性电池/单手柄</w:t>
            </w:r>
          </w:p>
        </w:tc>
        <w:tc>
          <w:tcPr>
            <w:tcW w:w="357" w:type="pct"/>
            <w:vAlign w:val="center"/>
          </w:tcPr>
          <w:p w14:paraId="505FB2E2">
            <w:pPr>
              <w:jc w:val="center"/>
              <w:rPr>
                <w:rFonts w:hint="eastAsia" w:ascii="宋体" w:hAnsi="宋体" w:cs="宋体"/>
                <w:szCs w:val="21"/>
              </w:rPr>
            </w:pPr>
            <w:r>
              <w:rPr>
                <w:rFonts w:hint="eastAsia" w:ascii="宋体" w:hAnsi="宋体" w:cs="宋体"/>
                <w:szCs w:val="21"/>
              </w:rPr>
              <w:t>2</w:t>
            </w:r>
          </w:p>
        </w:tc>
        <w:tc>
          <w:tcPr>
            <w:tcW w:w="341" w:type="pct"/>
            <w:vAlign w:val="center"/>
          </w:tcPr>
          <w:p w14:paraId="025E579B">
            <w:pPr>
              <w:jc w:val="center"/>
              <w:rPr>
                <w:rFonts w:hint="eastAsia" w:ascii="宋体" w:hAnsi="宋体" w:cs="宋体"/>
                <w:szCs w:val="21"/>
              </w:rPr>
            </w:pPr>
            <w:r>
              <w:rPr>
                <w:rFonts w:hint="eastAsia" w:ascii="宋体" w:hAnsi="宋体" w:cs="宋体"/>
                <w:szCs w:val="21"/>
              </w:rPr>
              <w:t>套</w:t>
            </w:r>
          </w:p>
        </w:tc>
      </w:tr>
      <w:tr w14:paraId="39D6A4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trHeight w:val="695" w:hRule="atLeast"/>
        </w:trPr>
        <w:tc>
          <w:tcPr>
            <w:tcW w:w="193" w:type="pct"/>
            <w:vAlign w:val="center"/>
          </w:tcPr>
          <w:p w14:paraId="36184B30">
            <w:pPr>
              <w:jc w:val="center"/>
              <w:rPr>
                <w:rFonts w:hint="eastAsia" w:ascii="宋体" w:hAnsi="宋体" w:cs="宋体"/>
                <w:b/>
                <w:bCs/>
                <w:szCs w:val="21"/>
              </w:rPr>
            </w:pPr>
            <w:r>
              <w:rPr>
                <w:rFonts w:hint="eastAsia" w:ascii="宋体" w:hAnsi="宋体" w:cs="宋体"/>
                <w:szCs w:val="21"/>
              </w:rPr>
              <w:t>31</w:t>
            </w:r>
          </w:p>
        </w:tc>
        <w:tc>
          <w:tcPr>
            <w:tcW w:w="536" w:type="pct"/>
            <w:vAlign w:val="center"/>
          </w:tcPr>
          <w:p w14:paraId="5D094854">
            <w:pPr>
              <w:pStyle w:val="80"/>
              <w:jc w:val="center"/>
              <w:rPr>
                <w:rFonts w:hint="eastAsia" w:ascii="宋体" w:hAnsi="宋体" w:cs="宋体"/>
              </w:rPr>
            </w:pPr>
            <w:r>
              <w:rPr>
                <w:rFonts w:hint="eastAsia" w:ascii="宋体" w:hAnsi="宋体" w:cs="宋体"/>
              </w:rPr>
              <w:t>5G视频传输模块及实施</w:t>
            </w:r>
          </w:p>
        </w:tc>
        <w:tc>
          <w:tcPr>
            <w:tcW w:w="3571" w:type="pct"/>
            <w:vAlign w:val="center"/>
          </w:tcPr>
          <w:p w14:paraId="48289AD4">
            <w:pPr>
              <w:pStyle w:val="80"/>
              <w:ind w:left="105" w:leftChars="50"/>
              <w:jc w:val="left"/>
              <w:rPr>
                <w:rFonts w:hint="eastAsia" w:ascii="宋体" w:hAnsi="宋体" w:cs="宋体"/>
              </w:rPr>
            </w:pPr>
            <w:r>
              <w:rPr>
                <w:rFonts w:hint="eastAsia" w:ascii="宋体" w:hAnsi="宋体" w:cs="宋体"/>
              </w:rPr>
              <w:t>5G视频传输模块及实施要求:无线影音传输器材，型号: 有线+无线同屏器</w:t>
            </w:r>
          </w:p>
        </w:tc>
        <w:tc>
          <w:tcPr>
            <w:tcW w:w="357" w:type="pct"/>
            <w:vAlign w:val="center"/>
          </w:tcPr>
          <w:p w14:paraId="58C88876">
            <w:pPr>
              <w:jc w:val="center"/>
              <w:rPr>
                <w:rFonts w:hint="eastAsia" w:ascii="宋体" w:hAnsi="宋体" w:cs="宋体"/>
                <w:szCs w:val="21"/>
              </w:rPr>
            </w:pPr>
            <w:r>
              <w:rPr>
                <w:rFonts w:hint="eastAsia" w:ascii="宋体" w:hAnsi="宋体" w:cs="宋体"/>
                <w:szCs w:val="21"/>
              </w:rPr>
              <w:t>5</w:t>
            </w:r>
          </w:p>
        </w:tc>
        <w:tc>
          <w:tcPr>
            <w:tcW w:w="341" w:type="pct"/>
            <w:vAlign w:val="center"/>
          </w:tcPr>
          <w:p w14:paraId="202801B8">
            <w:pPr>
              <w:jc w:val="center"/>
              <w:rPr>
                <w:rFonts w:hint="eastAsia" w:ascii="宋体" w:hAnsi="宋体" w:cs="宋体"/>
                <w:szCs w:val="21"/>
              </w:rPr>
            </w:pPr>
            <w:r>
              <w:rPr>
                <w:rFonts w:hint="eastAsia" w:ascii="宋体" w:hAnsi="宋体" w:cs="宋体"/>
                <w:szCs w:val="21"/>
              </w:rPr>
              <w:t>套</w:t>
            </w:r>
          </w:p>
        </w:tc>
      </w:tr>
      <w:tr w14:paraId="2877D6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trHeight w:val="695" w:hRule="atLeast"/>
        </w:trPr>
        <w:tc>
          <w:tcPr>
            <w:tcW w:w="193" w:type="pct"/>
            <w:vAlign w:val="center"/>
          </w:tcPr>
          <w:p w14:paraId="7A61112A">
            <w:pPr>
              <w:jc w:val="center"/>
              <w:rPr>
                <w:rFonts w:hint="eastAsia" w:ascii="宋体" w:hAnsi="宋体" w:cs="宋体"/>
                <w:b/>
                <w:bCs/>
                <w:szCs w:val="21"/>
              </w:rPr>
            </w:pPr>
            <w:r>
              <w:rPr>
                <w:rFonts w:hint="eastAsia" w:ascii="宋体" w:hAnsi="宋体" w:cs="宋体"/>
                <w:szCs w:val="21"/>
              </w:rPr>
              <w:t>32</w:t>
            </w:r>
          </w:p>
        </w:tc>
        <w:tc>
          <w:tcPr>
            <w:tcW w:w="536" w:type="pct"/>
            <w:vAlign w:val="center"/>
          </w:tcPr>
          <w:p w14:paraId="78DC7529">
            <w:pPr>
              <w:pStyle w:val="80"/>
              <w:jc w:val="center"/>
              <w:rPr>
                <w:rFonts w:hint="eastAsia" w:ascii="宋体" w:hAnsi="宋体" w:cs="宋体"/>
              </w:rPr>
            </w:pPr>
            <w:r>
              <w:rPr>
                <w:rFonts w:hint="eastAsia" w:ascii="宋体" w:hAnsi="宋体" w:cs="宋体"/>
              </w:rPr>
              <w:t>显示终端</w:t>
            </w:r>
          </w:p>
        </w:tc>
        <w:tc>
          <w:tcPr>
            <w:tcW w:w="3571" w:type="pct"/>
            <w:vAlign w:val="center"/>
          </w:tcPr>
          <w:p w14:paraId="3C879E4E">
            <w:pPr>
              <w:pStyle w:val="80"/>
              <w:ind w:left="105" w:leftChars="50"/>
              <w:jc w:val="left"/>
              <w:rPr>
                <w:rFonts w:hint="eastAsia" w:ascii="宋体" w:hAnsi="宋体" w:cs="宋体"/>
              </w:rPr>
            </w:pPr>
            <w:r>
              <w:rPr>
                <w:rFonts w:hint="eastAsia" w:ascii="宋体" w:hAnsi="宋体" w:cs="宋体"/>
              </w:rPr>
              <w:t>显示终端不小于32寸，分辨率不小于720P（1366*768），屏幕比例 16:9，背光源 LED，推荐观看距离 1.8-2.5米</w:t>
            </w:r>
          </w:p>
        </w:tc>
        <w:tc>
          <w:tcPr>
            <w:tcW w:w="357" w:type="pct"/>
            <w:vAlign w:val="center"/>
          </w:tcPr>
          <w:p w14:paraId="39D0EC48">
            <w:pPr>
              <w:jc w:val="center"/>
              <w:rPr>
                <w:rFonts w:hint="eastAsia" w:ascii="宋体" w:hAnsi="宋体" w:cs="宋体"/>
                <w:szCs w:val="21"/>
              </w:rPr>
            </w:pPr>
            <w:r>
              <w:rPr>
                <w:rFonts w:hint="eastAsia" w:ascii="宋体" w:hAnsi="宋体" w:cs="宋体"/>
                <w:szCs w:val="21"/>
              </w:rPr>
              <w:t>5</w:t>
            </w:r>
          </w:p>
        </w:tc>
        <w:tc>
          <w:tcPr>
            <w:tcW w:w="341" w:type="pct"/>
            <w:vAlign w:val="center"/>
          </w:tcPr>
          <w:p w14:paraId="1F0546BF">
            <w:pPr>
              <w:jc w:val="center"/>
              <w:rPr>
                <w:rFonts w:hint="eastAsia" w:ascii="宋体" w:hAnsi="宋体" w:cs="宋体"/>
                <w:szCs w:val="21"/>
              </w:rPr>
            </w:pPr>
            <w:r>
              <w:rPr>
                <w:rFonts w:hint="eastAsia" w:ascii="宋体" w:hAnsi="宋体" w:cs="宋体"/>
                <w:szCs w:val="21"/>
              </w:rPr>
              <w:t>套</w:t>
            </w:r>
          </w:p>
        </w:tc>
      </w:tr>
      <w:tr w14:paraId="14DE1B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trHeight w:val="695" w:hRule="atLeast"/>
        </w:trPr>
        <w:tc>
          <w:tcPr>
            <w:tcW w:w="193" w:type="pct"/>
            <w:vAlign w:val="center"/>
          </w:tcPr>
          <w:p w14:paraId="187BC9F0">
            <w:pPr>
              <w:jc w:val="center"/>
              <w:rPr>
                <w:rFonts w:hint="eastAsia" w:ascii="宋体" w:hAnsi="宋体" w:cs="宋体"/>
                <w:b/>
                <w:bCs/>
                <w:szCs w:val="21"/>
              </w:rPr>
            </w:pPr>
            <w:r>
              <w:rPr>
                <w:rFonts w:hint="eastAsia" w:ascii="宋体" w:hAnsi="宋体" w:cs="宋体"/>
                <w:szCs w:val="21"/>
              </w:rPr>
              <w:t>33</w:t>
            </w:r>
          </w:p>
        </w:tc>
        <w:tc>
          <w:tcPr>
            <w:tcW w:w="536" w:type="pct"/>
            <w:vAlign w:val="center"/>
          </w:tcPr>
          <w:p w14:paraId="5FFEBF3F">
            <w:pPr>
              <w:pStyle w:val="80"/>
              <w:jc w:val="center"/>
              <w:rPr>
                <w:rFonts w:hint="eastAsia" w:ascii="宋体" w:hAnsi="宋体" w:cs="宋体"/>
              </w:rPr>
            </w:pPr>
            <w:r>
              <w:rPr>
                <w:rFonts w:hint="eastAsia" w:ascii="宋体" w:hAnsi="宋体" w:cs="宋体"/>
              </w:rPr>
              <w:t>可分解式六人工作岛</w:t>
            </w:r>
          </w:p>
        </w:tc>
        <w:tc>
          <w:tcPr>
            <w:tcW w:w="3571" w:type="pct"/>
            <w:vAlign w:val="center"/>
          </w:tcPr>
          <w:p w14:paraId="4AFBC388">
            <w:pPr>
              <w:pStyle w:val="80"/>
              <w:ind w:left="105" w:leftChars="50"/>
              <w:jc w:val="left"/>
              <w:rPr>
                <w:rFonts w:hint="eastAsia" w:ascii="宋体" w:hAnsi="宋体" w:cs="宋体"/>
              </w:rPr>
            </w:pPr>
            <w:r>
              <w:rPr>
                <w:rFonts w:hint="eastAsia" w:ascii="宋体" w:hAnsi="宋体" w:cs="宋体"/>
              </w:rPr>
              <w:t>尺寸≥1200*1200*750cm，细选板材，烤漆脚架，大方实用，可翻转折叠，节约空间，铝合金压铸一体成型结实耐用不生锈，静音万向轮，配套6学生工位。</w:t>
            </w:r>
          </w:p>
        </w:tc>
        <w:tc>
          <w:tcPr>
            <w:tcW w:w="357" w:type="pct"/>
            <w:vAlign w:val="center"/>
          </w:tcPr>
          <w:p w14:paraId="3789049C">
            <w:pPr>
              <w:jc w:val="center"/>
              <w:rPr>
                <w:rFonts w:hint="eastAsia" w:ascii="宋体" w:hAnsi="宋体" w:cs="宋体"/>
                <w:szCs w:val="21"/>
              </w:rPr>
            </w:pPr>
            <w:r>
              <w:rPr>
                <w:rFonts w:hint="eastAsia" w:ascii="宋体" w:hAnsi="宋体" w:cs="宋体"/>
                <w:szCs w:val="21"/>
              </w:rPr>
              <w:t>5</w:t>
            </w:r>
          </w:p>
        </w:tc>
        <w:tc>
          <w:tcPr>
            <w:tcW w:w="341" w:type="pct"/>
            <w:vAlign w:val="center"/>
          </w:tcPr>
          <w:p w14:paraId="1E82A419">
            <w:pPr>
              <w:jc w:val="center"/>
              <w:rPr>
                <w:rFonts w:hint="eastAsia" w:ascii="宋体" w:hAnsi="宋体" w:cs="宋体"/>
                <w:szCs w:val="21"/>
              </w:rPr>
            </w:pPr>
            <w:r>
              <w:rPr>
                <w:rFonts w:hint="eastAsia" w:ascii="宋体" w:hAnsi="宋体" w:cs="宋体"/>
                <w:szCs w:val="21"/>
              </w:rPr>
              <w:t>套</w:t>
            </w:r>
          </w:p>
        </w:tc>
      </w:tr>
      <w:tr w14:paraId="298006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trHeight w:val="695" w:hRule="atLeast"/>
        </w:trPr>
        <w:tc>
          <w:tcPr>
            <w:tcW w:w="193" w:type="pct"/>
            <w:vAlign w:val="center"/>
          </w:tcPr>
          <w:p w14:paraId="27C7C9EE">
            <w:pPr>
              <w:jc w:val="center"/>
              <w:rPr>
                <w:rFonts w:hint="eastAsia" w:ascii="宋体" w:hAnsi="宋体" w:cs="宋体"/>
                <w:b/>
                <w:bCs/>
                <w:szCs w:val="21"/>
              </w:rPr>
            </w:pPr>
            <w:r>
              <w:rPr>
                <w:rFonts w:hint="eastAsia" w:ascii="宋体" w:hAnsi="宋体" w:cs="宋体"/>
                <w:szCs w:val="21"/>
              </w:rPr>
              <w:t>34</w:t>
            </w:r>
          </w:p>
        </w:tc>
        <w:tc>
          <w:tcPr>
            <w:tcW w:w="536" w:type="pct"/>
            <w:vAlign w:val="center"/>
          </w:tcPr>
          <w:p w14:paraId="369A6FFA">
            <w:pPr>
              <w:pStyle w:val="80"/>
              <w:jc w:val="center"/>
              <w:rPr>
                <w:rFonts w:hint="eastAsia" w:ascii="宋体" w:hAnsi="宋体" w:cs="宋体"/>
              </w:rPr>
            </w:pPr>
            <w:r>
              <w:rPr>
                <w:rFonts w:hint="eastAsia" w:ascii="宋体" w:hAnsi="宋体" w:cs="宋体"/>
              </w:rPr>
              <w:t>教学移动终端</w:t>
            </w:r>
          </w:p>
        </w:tc>
        <w:tc>
          <w:tcPr>
            <w:tcW w:w="3571" w:type="pct"/>
            <w:vAlign w:val="center"/>
          </w:tcPr>
          <w:p w14:paraId="5DC68C5B">
            <w:pPr>
              <w:pStyle w:val="80"/>
              <w:ind w:left="105" w:leftChars="50"/>
              <w:jc w:val="left"/>
              <w:rPr>
                <w:rFonts w:hint="eastAsia" w:ascii="宋体" w:hAnsi="宋体" w:cs="宋体"/>
              </w:rPr>
            </w:pPr>
            <w:r>
              <w:rPr>
                <w:rFonts w:hint="eastAsia" w:ascii="宋体" w:hAnsi="宋体" w:cs="宋体"/>
              </w:rPr>
              <w:t>一、产品优点及特性：</w:t>
            </w:r>
            <w:r>
              <w:rPr>
                <w:rFonts w:hint="eastAsia" w:ascii="宋体" w:hAnsi="宋体" w:cs="宋体"/>
              </w:rPr>
              <w:br w:type="textWrapping"/>
            </w:r>
            <w:r>
              <w:rPr>
                <w:rFonts w:hint="eastAsia" w:ascii="宋体" w:hAnsi="宋体" w:cs="宋体"/>
              </w:rPr>
              <w:t>1、4K超清分辨率，采用AG防眩光屏幕，莫氏7级硬度，画面柔和清晰</w:t>
            </w:r>
            <w:r>
              <w:rPr>
                <w:rFonts w:hint="eastAsia" w:ascii="宋体" w:hAnsi="宋体" w:cs="宋体"/>
              </w:rPr>
              <w:br w:type="textWrapping"/>
            </w:r>
            <w:r>
              <w:rPr>
                <w:rFonts w:hint="eastAsia" w:ascii="宋体" w:hAnsi="宋体" w:cs="宋体"/>
              </w:rPr>
              <w:t>2、全金属材质超窄边框设计，外观简约，前附双磁吸笔，使用前后取放方便</w:t>
            </w:r>
            <w:r>
              <w:rPr>
                <w:rFonts w:hint="eastAsia" w:ascii="宋体" w:hAnsi="宋体" w:cs="宋体"/>
              </w:rPr>
              <w:br w:type="textWrapping"/>
            </w:r>
            <w:r>
              <w:rPr>
                <w:rFonts w:hint="eastAsia" w:ascii="宋体" w:hAnsi="宋体" w:cs="宋体"/>
              </w:rPr>
              <w:t>3、电脑模块化设计，OPS/抽拉式PC设置，便于维护</w:t>
            </w:r>
            <w:r>
              <w:rPr>
                <w:rFonts w:hint="eastAsia" w:ascii="宋体" w:hAnsi="宋体" w:cs="宋体"/>
              </w:rPr>
              <w:br w:type="textWrapping"/>
            </w:r>
            <w:r>
              <w:rPr>
                <w:rFonts w:hint="eastAsia" w:ascii="宋体" w:hAnsi="宋体" w:cs="宋体"/>
              </w:rPr>
              <w:t>4、Android/Windows双系统支持，一键切换，兼容更多软件，满足更多需求</w:t>
            </w:r>
            <w:r>
              <w:rPr>
                <w:rFonts w:hint="eastAsia" w:ascii="宋体" w:hAnsi="宋体" w:cs="宋体"/>
              </w:rPr>
              <w:br w:type="textWrapping"/>
            </w:r>
            <w:r>
              <w:rPr>
                <w:rFonts w:hint="eastAsia" w:ascii="宋体" w:hAnsi="宋体" w:cs="宋体"/>
              </w:rPr>
              <w:t>5、电子白板：顺滑书写，支持20点触控，批注、绘画、擦除、图像放大缩小和旋转，并支持手机扫码一键保存白板内容</w:t>
            </w:r>
            <w:r>
              <w:rPr>
                <w:rFonts w:hint="eastAsia" w:ascii="宋体" w:hAnsi="宋体" w:cs="宋体"/>
              </w:rPr>
              <w:br w:type="textWrapping"/>
            </w:r>
            <w:r>
              <w:rPr>
                <w:rFonts w:hint="eastAsia" w:ascii="宋体" w:hAnsi="宋体" w:cs="宋体"/>
              </w:rPr>
              <w:t>6、无线投屏：支持无线投屏，同屏多分屏功能（支持Android、Windows、IOS、Mac/OS），支持4个设备同时同屏</w:t>
            </w:r>
            <w:r>
              <w:rPr>
                <w:rFonts w:hint="eastAsia" w:ascii="宋体" w:hAnsi="宋体" w:cs="宋体"/>
              </w:rPr>
              <w:br w:type="textWrapping"/>
            </w:r>
            <w:r>
              <w:rPr>
                <w:rFonts w:hint="eastAsia" w:ascii="宋体" w:hAnsi="宋体" w:cs="宋体"/>
              </w:rPr>
              <w:t>7、远程视频：支持远程视频会议，多方异地会议，远程PPT演讲，远程桌面共享，支持流畅，标清，高清多种模式</w:t>
            </w:r>
            <w:r>
              <w:rPr>
                <w:rFonts w:hint="eastAsia" w:ascii="宋体" w:hAnsi="宋体" w:cs="宋体"/>
              </w:rPr>
              <w:br w:type="textWrapping"/>
            </w:r>
            <w:r>
              <w:rPr>
                <w:rFonts w:hint="eastAsia" w:ascii="宋体" w:hAnsi="宋体" w:cs="宋体"/>
              </w:rPr>
              <w:t>8、会议培训：内置office,看图，视频播放器等办公实用工具，内置无线WIFI，网卡，支持无线上网，支持将手机、平板、Pad等设备画面同步传送到平板上，支持异地多方远程会议，远程PPT演讲， 远程桌面共享</w:t>
            </w:r>
            <w:r>
              <w:rPr>
                <w:rFonts w:hint="eastAsia" w:ascii="宋体" w:hAnsi="宋体" w:cs="宋体"/>
              </w:rPr>
              <w:br w:type="textWrapping"/>
            </w:r>
            <w:r>
              <w:rPr>
                <w:rFonts w:hint="eastAsia" w:ascii="宋体" w:hAnsi="宋体" w:cs="宋体"/>
              </w:rPr>
              <w:t>9、商业展示：自定义开机画面、主题和背景，本地媒体播放器支持自动分类，满足不同场合需求；内置专业多媒体播放软件，播放软件支持分屏播放（一分屏，二分屏，三分屏）；可选互动触摸查询系统，政务查询，企业介绍，文化宣传，业务介绍，让会议机变身自助查询机；侧边栏按钮、手势唤出方式和触摸控制开关自由切换，让会议机变身广告展示机</w:t>
            </w:r>
            <w:r>
              <w:rPr>
                <w:rFonts w:hint="eastAsia" w:ascii="宋体" w:hAnsi="宋体" w:cs="宋体"/>
              </w:rPr>
              <w:br w:type="textWrapping"/>
            </w:r>
            <w:r>
              <w:rPr>
                <w:rFonts w:hint="eastAsia" w:ascii="宋体" w:hAnsi="宋体" w:cs="宋体"/>
              </w:rPr>
              <w:t>二、产品参数配置要求：</w:t>
            </w:r>
            <w:r>
              <w:rPr>
                <w:rFonts w:hint="eastAsia" w:ascii="宋体" w:hAnsi="宋体" w:cs="宋体"/>
              </w:rPr>
              <w:br w:type="textWrapping"/>
            </w:r>
            <w:r>
              <w:rPr>
                <w:rFonts w:hint="eastAsia" w:ascii="宋体" w:hAnsi="宋体" w:cs="宋体"/>
              </w:rPr>
              <w:t>显示 尺寸 86英寸</w:t>
            </w:r>
            <w:r>
              <w:rPr>
                <w:rFonts w:hint="eastAsia" w:ascii="宋体" w:hAnsi="宋体" w:cs="宋体"/>
              </w:rPr>
              <w:br w:type="textWrapping"/>
            </w:r>
            <w:r>
              <w:rPr>
                <w:rFonts w:hint="eastAsia" w:ascii="宋体" w:hAnsi="宋体" w:cs="宋体"/>
              </w:rPr>
              <w:t xml:space="preserve"> 屏幕类型 LED液晶屏（A规）</w:t>
            </w:r>
            <w:r>
              <w:rPr>
                <w:rFonts w:hint="eastAsia" w:ascii="宋体" w:hAnsi="宋体" w:cs="宋体"/>
              </w:rPr>
              <w:br w:type="textWrapping"/>
            </w:r>
            <w:r>
              <w:rPr>
                <w:rFonts w:hint="eastAsia" w:ascii="宋体" w:hAnsi="宋体" w:cs="宋体"/>
              </w:rPr>
              <w:t xml:space="preserve"> 背光类型 D-LED</w:t>
            </w:r>
            <w:r>
              <w:rPr>
                <w:rFonts w:hint="eastAsia" w:ascii="宋体" w:hAnsi="宋体" w:cs="宋体"/>
              </w:rPr>
              <w:br w:type="textWrapping"/>
            </w:r>
            <w:r>
              <w:rPr>
                <w:rFonts w:hint="eastAsia" w:ascii="宋体" w:hAnsi="宋体" w:cs="宋体"/>
              </w:rPr>
              <w:t xml:space="preserve"> 显示区域 1895(W)×1066(H)mm</w:t>
            </w:r>
            <w:r>
              <w:rPr>
                <w:rFonts w:hint="eastAsia" w:ascii="宋体" w:hAnsi="宋体" w:cs="宋体"/>
              </w:rPr>
              <w:br w:type="textWrapping"/>
            </w:r>
            <w:r>
              <w:rPr>
                <w:rFonts w:hint="eastAsia" w:ascii="宋体" w:hAnsi="宋体" w:cs="宋体"/>
              </w:rPr>
              <w:t xml:space="preserve"> 分辨率 3840×2160（FHD）</w:t>
            </w:r>
            <w:r>
              <w:rPr>
                <w:rFonts w:hint="eastAsia" w:ascii="宋体" w:hAnsi="宋体" w:cs="宋体"/>
              </w:rPr>
              <w:br w:type="textWrapping"/>
            </w:r>
            <w:r>
              <w:rPr>
                <w:rFonts w:hint="eastAsia" w:ascii="宋体" w:hAnsi="宋体" w:cs="宋体"/>
              </w:rPr>
              <w:t xml:space="preserve"> 亮度 400cd/m²</w:t>
            </w:r>
            <w:r>
              <w:rPr>
                <w:rFonts w:hint="eastAsia" w:ascii="宋体" w:hAnsi="宋体" w:cs="宋体"/>
              </w:rPr>
              <w:br w:type="textWrapping"/>
            </w:r>
            <w:r>
              <w:rPr>
                <w:rFonts w:hint="eastAsia" w:ascii="宋体" w:hAnsi="宋体" w:cs="宋体"/>
              </w:rPr>
              <w:t xml:space="preserve"> 响应时间 7ms</w:t>
            </w:r>
            <w:r>
              <w:rPr>
                <w:rFonts w:hint="eastAsia" w:ascii="宋体" w:hAnsi="宋体" w:cs="宋体"/>
              </w:rPr>
              <w:br w:type="textWrapping"/>
            </w:r>
            <w:r>
              <w:rPr>
                <w:rFonts w:hint="eastAsia" w:ascii="宋体" w:hAnsi="宋体" w:cs="宋体"/>
              </w:rPr>
              <w:t xml:space="preserve"> 对比度 1200:1</w:t>
            </w:r>
            <w:r>
              <w:rPr>
                <w:rFonts w:hint="eastAsia" w:ascii="宋体" w:hAnsi="宋体" w:cs="宋体"/>
              </w:rPr>
              <w:br w:type="textWrapping"/>
            </w:r>
            <w:r>
              <w:rPr>
                <w:rFonts w:hint="eastAsia" w:ascii="宋体" w:hAnsi="宋体" w:cs="宋体"/>
              </w:rPr>
              <w:t xml:space="preserve"> 色域 60% NTSC (CIE1931)</w:t>
            </w:r>
            <w:r>
              <w:rPr>
                <w:rFonts w:hint="eastAsia" w:ascii="宋体" w:hAnsi="宋体" w:cs="宋体"/>
              </w:rPr>
              <w:br w:type="textWrapping"/>
            </w:r>
            <w:r>
              <w:rPr>
                <w:rFonts w:hint="eastAsia" w:ascii="宋体" w:hAnsi="宋体" w:cs="宋体"/>
              </w:rPr>
              <w:t xml:space="preserve"> 可视角度 89/89/89/89 (Min.)(CR≥10)</w:t>
            </w:r>
            <w:r>
              <w:rPr>
                <w:rFonts w:hint="eastAsia" w:ascii="宋体" w:hAnsi="宋体" w:cs="宋体"/>
              </w:rPr>
              <w:br w:type="textWrapping"/>
            </w:r>
            <w:r>
              <w:rPr>
                <w:rFonts w:hint="eastAsia" w:ascii="宋体" w:hAnsi="宋体" w:cs="宋体"/>
              </w:rPr>
              <w:t xml:space="preserve"> 使用寿命 &gt;50000H</w:t>
            </w:r>
            <w:r>
              <w:rPr>
                <w:rFonts w:hint="eastAsia" w:ascii="宋体" w:hAnsi="宋体" w:cs="宋体"/>
              </w:rPr>
              <w:br w:type="textWrapping"/>
            </w:r>
            <w:r>
              <w:rPr>
                <w:rFonts w:hint="eastAsia" w:ascii="宋体" w:hAnsi="宋体" w:cs="宋体"/>
              </w:rPr>
              <w:t>Android系统 芯片 BSD.FT91</w:t>
            </w:r>
            <w:r>
              <w:rPr>
                <w:rFonts w:hint="eastAsia" w:ascii="宋体" w:hAnsi="宋体" w:cs="宋体"/>
              </w:rPr>
              <w:br w:type="textWrapping"/>
            </w:r>
            <w:r>
              <w:rPr>
                <w:rFonts w:hint="eastAsia" w:ascii="宋体" w:hAnsi="宋体" w:cs="宋体"/>
              </w:rPr>
              <w:t xml:space="preserve"> CPU ARMCortex-A53四核</w:t>
            </w:r>
            <w:r>
              <w:rPr>
                <w:rFonts w:hint="eastAsia" w:ascii="宋体" w:hAnsi="宋体" w:cs="宋体"/>
              </w:rPr>
              <w:br w:type="textWrapping"/>
            </w:r>
            <w:r>
              <w:rPr>
                <w:rFonts w:hint="eastAsia" w:ascii="宋体" w:hAnsi="宋体" w:cs="宋体"/>
              </w:rPr>
              <w:t xml:space="preserve"> GPU 双核Mali-720MP MP2</w:t>
            </w:r>
            <w:r>
              <w:rPr>
                <w:rFonts w:hint="eastAsia" w:ascii="宋体" w:hAnsi="宋体" w:cs="宋体"/>
              </w:rPr>
              <w:br w:type="textWrapping"/>
            </w:r>
            <w:r>
              <w:rPr>
                <w:rFonts w:hint="eastAsia" w:ascii="宋体" w:hAnsi="宋体" w:cs="宋体"/>
              </w:rPr>
              <w:t xml:space="preserve"> 系统支持 Android 6.0</w:t>
            </w:r>
            <w:r>
              <w:rPr>
                <w:rFonts w:hint="eastAsia" w:ascii="宋体" w:hAnsi="宋体" w:cs="宋体"/>
              </w:rPr>
              <w:br w:type="textWrapping"/>
            </w:r>
            <w:r>
              <w:rPr>
                <w:rFonts w:hint="eastAsia" w:ascii="宋体" w:hAnsi="宋体" w:cs="宋体"/>
              </w:rPr>
              <w:t xml:space="preserve"> 内部容量 2G+16G</w:t>
            </w:r>
            <w:r>
              <w:rPr>
                <w:rFonts w:hint="eastAsia" w:ascii="宋体" w:hAnsi="宋体" w:cs="宋体"/>
              </w:rPr>
              <w:br w:type="textWrapping"/>
            </w:r>
            <w:r>
              <w:rPr>
                <w:rFonts w:hint="eastAsia" w:ascii="宋体" w:hAnsi="宋体" w:cs="宋体"/>
              </w:rPr>
              <w:t xml:space="preserve"> 接口 HDMI、触摸接口、USB、电源、WIFI、VGA、LAN、AUDIO、RECOVE、MIC、POWER、耳机、TF、RS232、信号输入、AV、音频、同轴输出</w:t>
            </w:r>
            <w:r>
              <w:rPr>
                <w:rFonts w:hint="eastAsia" w:ascii="宋体" w:hAnsi="宋体" w:cs="宋体"/>
              </w:rPr>
              <w:br w:type="textWrapping"/>
            </w:r>
            <w:r>
              <w:rPr>
                <w:rFonts w:hint="eastAsia" w:ascii="宋体" w:hAnsi="宋体" w:cs="宋体"/>
              </w:rPr>
              <w:t>Windows系统</w:t>
            </w:r>
            <w:r>
              <w:rPr>
                <w:rFonts w:hint="eastAsia" w:ascii="宋体" w:hAnsi="宋体" w:cs="宋体"/>
              </w:rPr>
              <w:br w:type="textWrapping"/>
            </w:r>
            <w:r>
              <w:rPr>
                <w:rFonts w:hint="eastAsia" w:ascii="宋体" w:hAnsi="宋体" w:cs="宋体"/>
              </w:rPr>
              <w:t>（可选） 芯片 英特尔</w:t>
            </w:r>
            <w:r>
              <w:rPr>
                <w:rFonts w:hint="eastAsia" w:ascii="宋体" w:hAnsi="宋体" w:cs="宋体"/>
              </w:rPr>
              <w:br w:type="textWrapping"/>
            </w:r>
            <w:r>
              <w:rPr>
                <w:rFonts w:hint="eastAsia" w:ascii="宋体" w:hAnsi="宋体" w:cs="宋体"/>
              </w:rPr>
              <w:t xml:space="preserve"> CPU HM86-4代 i3/i5/i7（可选）</w:t>
            </w:r>
            <w:r>
              <w:rPr>
                <w:rFonts w:hint="eastAsia" w:ascii="宋体" w:hAnsi="宋体" w:cs="宋体"/>
              </w:rPr>
              <w:br w:type="textWrapping"/>
            </w:r>
            <w:r>
              <w:rPr>
                <w:rFonts w:hint="eastAsia" w:ascii="宋体" w:hAnsi="宋体" w:cs="宋体"/>
              </w:rPr>
              <w:t xml:space="preserve"> 运行内存 4G DDR3</w:t>
            </w:r>
            <w:r>
              <w:rPr>
                <w:rFonts w:hint="eastAsia" w:ascii="宋体" w:hAnsi="宋体" w:cs="宋体"/>
              </w:rPr>
              <w:br w:type="textWrapping"/>
            </w:r>
            <w:r>
              <w:rPr>
                <w:rFonts w:hint="eastAsia" w:ascii="宋体" w:hAnsi="宋体" w:cs="宋体"/>
              </w:rPr>
              <w:t xml:space="preserve"> 硬盘存储 128G SSD</w:t>
            </w:r>
            <w:r>
              <w:rPr>
                <w:rFonts w:hint="eastAsia" w:ascii="宋体" w:hAnsi="宋体" w:cs="宋体"/>
              </w:rPr>
              <w:br w:type="textWrapping"/>
            </w:r>
            <w:r>
              <w:rPr>
                <w:rFonts w:hint="eastAsia" w:ascii="宋体" w:hAnsi="宋体" w:cs="宋体"/>
              </w:rPr>
              <w:t xml:space="preserve"> 接口 HDMI、USB、电源、WIFI、LAN、VGA、AUDIO、WIFI、RECOVE、MIC、POWER、TV、AV、耳机、PC音频、外置触摸</w:t>
            </w:r>
            <w:r>
              <w:rPr>
                <w:rFonts w:hint="eastAsia" w:ascii="宋体" w:hAnsi="宋体" w:cs="宋体"/>
              </w:rPr>
              <w:br w:type="textWrapping"/>
            </w:r>
            <w:r>
              <w:rPr>
                <w:rFonts w:hint="eastAsia" w:ascii="宋体" w:hAnsi="宋体" w:cs="宋体"/>
              </w:rPr>
              <w:t>触摸 触摸规格 红外触摸框</w:t>
            </w:r>
            <w:r>
              <w:rPr>
                <w:rFonts w:hint="eastAsia" w:ascii="宋体" w:hAnsi="宋体" w:cs="宋体"/>
              </w:rPr>
              <w:br w:type="textWrapping"/>
            </w:r>
            <w:r>
              <w:rPr>
                <w:rFonts w:hint="eastAsia" w:ascii="宋体" w:hAnsi="宋体" w:cs="宋体"/>
              </w:rPr>
              <w:t xml:space="preserve"> 触摸点数 20点触控</w:t>
            </w:r>
            <w:r>
              <w:rPr>
                <w:rFonts w:hint="eastAsia" w:ascii="宋体" w:hAnsi="宋体" w:cs="宋体"/>
              </w:rPr>
              <w:br w:type="textWrapping"/>
            </w:r>
            <w:r>
              <w:rPr>
                <w:rFonts w:hint="eastAsia" w:ascii="宋体" w:hAnsi="宋体" w:cs="宋体"/>
              </w:rPr>
              <w:t xml:space="preserve"> 响应时间 ≤15ms</w:t>
            </w:r>
            <w:r>
              <w:rPr>
                <w:rFonts w:hint="eastAsia" w:ascii="宋体" w:hAnsi="宋体" w:cs="宋体"/>
              </w:rPr>
              <w:br w:type="textWrapping"/>
            </w:r>
            <w:r>
              <w:rPr>
                <w:rFonts w:hint="eastAsia" w:ascii="宋体" w:hAnsi="宋体" w:cs="宋体"/>
              </w:rPr>
              <w:t xml:space="preserve"> 点位精度 90%以上的触摸区域为±2mm</w:t>
            </w:r>
            <w:r>
              <w:rPr>
                <w:rFonts w:hint="eastAsia" w:ascii="宋体" w:hAnsi="宋体" w:cs="宋体"/>
              </w:rPr>
              <w:br w:type="textWrapping"/>
            </w:r>
            <w:r>
              <w:rPr>
                <w:rFonts w:hint="eastAsia" w:ascii="宋体" w:hAnsi="宋体" w:cs="宋体"/>
              </w:rPr>
              <w:t>整机参数 重量 净重：72kg-723kg 毛重：95kg-97kg</w:t>
            </w:r>
            <w:r>
              <w:rPr>
                <w:rFonts w:hint="eastAsia" w:ascii="宋体" w:hAnsi="宋体" w:cs="宋体"/>
              </w:rPr>
              <w:br w:type="textWrapping"/>
            </w:r>
            <w:r>
              <w:rPr>
                <w:rFonts w:hint="eastAsia" w:ascii="宋体" w:hAnsi="宋体" w:cs="宋体"/>
              </w:rPr>
              <w:t xml:space="preserve"> 裸机尺寸（长*宽*高） （1961-1965)×（1176-1180）×（100-105)mm</w:t>
            </w:r>
            <w:r>
              <w:rPr>
                <w:rFonts w:hint="eastAsia" w:ascii="宋体" w:hAnsi="宋体" w:cs="宋体"/>
              </w:rPr>
              <w:br w:type="textWrapping"/>
            </w:r>
            <w:r>
              <w:rPr>
                <w:rFonts w:hint="eastAsia" w:ascii="宋体" w:hAnsi="宋体" w:cs="宋体"/>
              </w:rPr>
              <w:t xml:space="preserve"> 外壳材料（面框/后壳） 铝合金/钣金</w:t>
            </w:r>
            <w:r>
              <w:rPr>
                <w:rFonts w:hint="eastAsia" w:ascii="宋体" w:hAnsi="宋体" w:cs="宋体"/>
              </w:rPr>
              <w:br w:type="textWrapping"/>
            </w:r>
            <w:r>
              <w:rPr>
                <w:rFonts w:hint="eastAsia" w:ascii="宋体" w:hAnsi="宋体" w:cs="宋体"/>
              </w:rPr>
              <w:t xml:space="preserve"> 外壳颜色（面框/后壳） 黑色</w:t>
            </w:r>
            <w:r>
              <w:rPr>
                <w:rFonts w:hint="eastAsia" w:ascii="宋体" w:hAnsi="宋体" w:cs="宋体"/>
              </w:rPr>
              <w:br w:type="textWrapping"/>
            </w:r>
            <w:r>
              <w:rPr>
                <w:rFonts w:hint="eastAsia" w:ascii="宋体" w:hAnsi="宋体" w:cs="宋体"/>
              </w:rPr>
              <w:t xml:space="preserve"> 开关电源 AC100-240V~(+/-10%),50/60Hz</w:t>
            </w:r>
            <w:r>
              <w:rPr>
                <w:rFonts w:hint="eastAsia" w:ascii="宋体" w:hAnsi="宋体" w:cs="宋体"/>
              </w:rPr>
              <w:br w:type="textWrapping"/>
            </w:r>
            <w:r>
              <w:rPr>
                <w:rFonts w:hint="eastAsia" w:ascii="宋体" w:hAnsi="宋体" w:cs="宋体"/>
              </w:rPr>
              <w:t xml:space="preserve"> 电源接口 中规 220V 两相三线制</w:t>
            </w:r>
            <w:r>
              <w:rPr>
                <w:rFonts w:hint="eastAsia" w:ascii="宋体" w:hAnsi="宋体" w:cs="宋体"/>
              </w:rPr>
              <w:br w:type="textWrapping"/>
            </w:r>
            <w:r>
              <w:rPr>
                <w:rFonts w:hint="eastAsia" w:ascii="宋体" w:hAnsi="宋体" w:cs="宋体"/>
              </w:rPr>
              <w:t xml:space="preserve"> 整机功耗 385W</w:t>
            </w:r>
            <w:r>
              <w:rPr>
                <w:rFonts w:hint="eastAsia" w:ascii="宋体" w:hAnsi="宋体" w:cs="宋体"/>
              </w:rPr>
              <w:br w:type="textWrapping"/>
            </w:r>
            <w:r>
              <w:rPr>
                <w:rFonts w:hint="eastAsia" w:ascii="宋体" w:hAnsi="宋体" w:cs="宋体"/>
              </w:rPr>
              <w:t xml:space="preserve"> 工作温度 0°C ～ 50°C</w:t>
            </w:r>
            <w:r>
              <w:rPr>
                <w:rFonts w:hint="eastAsia" w:ascii="宋体" w:hAnsi="宋体" w:cs="宋体"/>
              </w:rPr>
              <w:br w:type="textWrapping"/>
            </w:r>
            <w:r>
              <w:rPr>
                <w:rFonts w:hint="eastAsia" w:ascii="宋体" w:hAnsi="宋体" w:cs="宋体"/>
              </w:rPr>
              <w:t xml:space="preserve"> 存储温度 -20°C ～ 60°C</w:t>
            </w:r>
          </w:p>
        </w:tc>
        <w:tc>
          <w:tcPr>
            <w:tcW w:w="357" w:type="pct"/>
            <w:vAlign w:val="center"/>
          </w:tcPr>
          <w:p w14:paraId="2503644A">
            <w:pPr>
              <w:jc w:val="center"/>
              <w:rPr>
                <w:rFonts w:hint="eastAsia" w:ascii="宋体" w:hAnsi="宋体" w:cs="宋体"/>
                <w:szCs w:val="21"/>
              </w:rPr>
            </w:pPr>
            <w:r>
              <w:rPr>
                <w:rFonts w:hint="eastAsia" w:ascii="宋体" w:hAnsi="宋体" w:cs="宋体"/>
                <w:szCs w:val="21"/>
              </w:rPr>
              <w:t>1</w:t>
            </w:r>
          </w:p>
        </w:tc>
        <w:tc>
          <w:tcPr>
            <w:tcW w:w="341" w:type="pct"/>
            <w:vAlign w:val="center"/>
          </w:tcPr>
          <w:p w14:paraId="0E2B2D93">
            <w:pPr>
              <w:jc w:val="center"/>
              <w:rPr>
                <w:rFonts w:hint="eastAsia" w:ascii="宋体" w:hAnsi="宋体" w:cs="宋体"/>
                <w:szCs w:val="21"/>
              </w:rPr>
            </w:pPr>
            <w:r>
              <w:rPr>
                <w:rFonts w:hint="eastAsia" w:ascii="宋体" w:hAnsi="宋体" w:cs="宋体"/>
                <w:szCs w:val="21"/>
              </w:rPr>
              <w:t>套</w:t>
            </w:r>
          </w:p>
        </w:tc>
      </w:tr>
      <w:tr w14:paraId="41462E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trHeight w:val="695" w:hRule="atLeast"/>
        </w:trPr>
        <w:tc>
          <w:tcPr>
            <w:tcW w:w="193" w:type="pct"/>
            <w:vAlign w:val="center"/>
          </w:tcPr>
          <w:p w14:paraId="2F9346EA">
            <w:pPr>
              <w:jc w:val="center"/>
              <w:rPr>
                <w:rFonts w:hint="eastAsia" w:ascii="宋体" w:hAnsi="宋体" w:cs="宋体"/>
                <w:b/>
                <w:bCs/>
                <w:szCs w:val="21"/>
              </w:rPr>
            </w:pPr>
            <w:r>
              <w:rPr>
                <w:rFonts w:hint="eastAsia" w:ascii="宋体" w:hAnsi="宋体" w:cs="宋体"/>
                <w:szCs w:val="21"/>
              </w:rPr>
              <w:t>35</w:t>
            </w:r>
          </w:p>
        </w:tc>
        <w:tc>
          <w:tcPr>
            <w:tcW w:w="536" w:type="pct"/>
            <w:vAlign w:val="center"/>
          </w:tcPr>
          <w:p w14:paraId="40144C8F">
            <w:pPr>
              <w:pStyle w:val="80"/>
              <w:jc w:val="center"/>
              <w:rPr>
                <w:rFonts w:hint="eastAsia" w:ascii="宋体" w:hAnsi="宋体" w:cs="宋体"/>
              </w:rPr>
            </w:pPr>
            <w:r>
              <w:rPr>
                <w:rFonts w:hint="eastAsia" w:ascii="宋体" w:hAnsi="宋体" w:cs="宋体"/>
              </w:rPr>
              <w:t>多功能工作台</w:t>
            </w:r>
          </w:p>
        </w:tc>
        <w:tc>
          <w:tcPr>
            <w:tcW w:w="3571" w:type="pct"/>
            <w:vAlign w:val="center"/>
          </w:tcPr>
          <w:p w14:paraId="65C9E3B6">
            <w:pPr>
              <w:pStyle w:val="80"/>
              <w:ind w:left="105" w:leftChars="50"/>
              <w:jc w:val="left"/>
              <w:rPr>
                <w:rFonts w:hint="eastAsia" w:ascii="宋体" w:hAnsi="宋体" w:cs="宋体"/>
              </w:rPr>
            </w:pPr>
            <w:r>
              <w:rPr>
                <w:rFonts w:hint="eastAsia" w:ascii="宋体" w:hAnsi="宋体" w:cs="宋体"/>
              </w:rPr>
              <w:t>产品属性：新能源汽车专用多功能工作台</w:t>
            </w:r>
            <w:r>
              <w:rPr>
                <w:rFonts w:hint="eastAsia" w:ascii="宋体" w:hAnsi="宋体" w:cs="宋体"/>
              </w:rPr>
              <w:br w:type="textWrapping"/>
            </w:r>
            <w:r>
              <w:rPr>
                <w:rFonts w:hint="eastAsia" w:ascii="宋体" w:hAnsi="宋体" w:cs="宋体"/>
              </w:rPr>
              <w:t>颜色:钢架纯黑色，实木色桌面，抽屉与置物板均为黑色</w:t>
            </w:r>
            <w:r>
              <w:rPr>
                <w:rFonts w:hint="eastAsia" w:ascii="宋体" w:hAnsi="宋体" w:cs="宋体"/>
              </w:rPr>
              <w:br w:type="textWrapping"/>
            </w:r>
            <w:r>
              <w:rPr>
                <w:rFonts w:hint="eastAsia" w:ascii="宋体" w:hAnsi="宋体" w:cs="宋体"/>
              </w:rPr>
              <w:t>钢架工艺：钢架一体式，钢板为一级冷轧钢板，厚度为2.5MM，经剪板冲压折弯焊接成型，去毛刺除焊渣表面脱脂磷化，表面环氧树脂粉末静电喷涂防腐处理，具有结构稳定，承重力强，表面防锈防潮，光滑抗氧化等特点</w:t>
            </w:r>
            <w:r>
              <w:rPr>
                <w:rFonts w:hint="eastAsia" w:ascii="宋体" w:hAnsi="宋体" w:cs="宋体"/>
              </w:rPr>
              <w:br w:type="textWrapping"/>
            </w:r>
            <w:r>
              <w:rPr>
                <w:rFonts w:hint="eastAsia" w:ascii="宋体" w:hAnsi="宋体" w:cs="宋体"/>
              </w:rPr>
              <w:t>桌面材质：台面厚度4公分，表层铺2毫米厚度黑色胶皮，绝缘耐油耐酸碱的耐磨材料，实木材质桌面，抗压抗冲击</w:t>
            </w:r>
            <w:r>
              <w:rPr>
                <w:rFonts w:hint="eastAsia" w:ascii="宋体" w:hAnsi="宋体" w:cs="宋体"/>
              </w:rPr>
              <w:br w:type="textWrapping"/>
            </w:r>
            <w:r>
              <w:rPr>
                <w:rFonts w:hint="eastAsia" w:ascii="宋体" w:hAnsi="宋体" w:cs="宋体"/>
              </w:rPr>
              <w:t>抽屉、单开门储物格：设计了双锁式独立开关式抽屉，抽屉内部放置高密度发泡板并雕刻有置物格，便于工具和检测仪器的定置定位，单开门式储物格方便放置相关实训耗材。</w:t>
            </w:r>
            <w:r>
              <w:rPr>
                <w:rFonts w:hint="eastAsia" w:ascii="宋体" w:hAnsi="宋体" w:cs="宋体"/>
              </w:rPr>
              <w:br w:type="textWrapping"/>
            </w:r>
            <w:r>
              <w:rPr>
                <w:rFonts w:hint="eastAsia" w:ascii="宋体" w:hAnsi="宋体" w:cs="宋体"/>
              </w:rPr>
              <w:t>外形尺寸：（1400mm-1410mm）×（700mm-710mm）×（850mm-860mm）</w:t>
            </w:r>
            <w:r>
              <w:rPr>
                <w:rFonts w:hint="eastAsia" w:ascii="宋体" w:hAnsi="宋体" w:cs="宋体"/>
              </w:rPr>
              <w:br w:type="textWrapping"/>
            </w:r>
            <w:r>
              <w:rPr>
                <w:rFonts w:hint="eastAsia" w:ascii="宋体" w:hAnsi="宋体" w:cs="宋体"/>
              </w:rPr>
              <w:t>适用范围：适用于职业院校汽车维修专业和机械加工专业实训室建设以及相关专业的检测、维修、组装等</w:t>
            </w:r>
          </w:p>
        </w:tc>
        <w:tc>
          <w:tcPr>
            <w:tcW w:w="357" w:type="pct"/>
            <w:vAlign w:val="center"/>
          </w:tcPr>
          <w:p w14:paraId="0D31AE30">
            <w:pPr>
              <w:jc w:val="center"/>
              <w:rPr>
                <w:rFonts w:hint="eastAsia" w:ascii="宋体" w:hAnsi="宋体" w:cs="宋体"/>
                <w:szCs w:val="21"/>
              </w:rPr>
            </w:pPr>
            <w:r>
              <w:rPr>
                <w:rFonts w:hint="eastAsia" w:ascii="宋体" w:hAnsi="宋体" w:cs="宋体"/>
                <w:szCs w:val="21"/>
              </w:rPr>
              <w:t>4</w:t>
            </w:r>
          </w:p>
        </w:tc>
        <w:tc>
          <w:tcPr>
            <w:tcW w:w="341" w:type="pct"/>
            <w:vAlign w:val="center"/>
          </w:tcPr>
          <w:p w14:paraId="45F41E96">
            <w:pPr>
              <w:jc w:val="center"/>
              <w:rPr>
                <w:rFonts w:hint="eastAsia" w:ascii="宋体" w:hAnsi="宋体" w:cs="宋体"/>
                <w:szCs w:val="21"/>
              </w:rPr>
            </w:pPr>
            <w:r>
              <w:rPr>
                <w:rFonts w:hint="eastAsia" w:ascii="宋体" w:hAnsi="宋体" w:cs="宋体"/>
                <w:szCs w:val="21"/>
              </w:rPr>
              <w:t>套</w:t>
            </w:r>
          </w:p>
        </w:tc>
      </w:tr>
      <w:tr w14:paraId="384791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trHeight w:val="695" w:hRule="atLeast"/>
        </w:trPr>
        <w:tc>
          <w:tcPr>
            <w:tcW w:w="193" w:type="pct"/>
            <w:vAlign w:val="center"/>
          </w:tcPr>
          <w:p w14:paraId="3C6CB53E">
            <w:pPr>
              <w:jc w:val="center"/>
              <w:rPr>
                <w:rFonts w:hint="eastAsia" w:ascii="宋体" w:hAnsi="宋体" w:cs="宋体"/>
                <w:b/>
                <w:bCs/>
                <w:szCs w:val="21"/>
              </w:rPr>
            </w:pPr>
            <w:r>
              <w:rPr>
                <w:rFonts w:hint="eastAsia" w:ascii="宋体" w:hAnsi="宋体" w:cs="宋体"/>
                <w:szCs w:val="21"/>
              </w:rPr>
              <w:t>36</w:t>
            </w:r>
          </w:p>
        </w:tc>
        <w:tc>
          <w:tcPr>
            <w:tcW w:w="536" w:type="pct"/>
            <w:vAlign w:val="center"/>
          </w:tcPr>
          <w:p w14:paraId="3171EC1B">
            <w:pPr>
              <w:pStyle w:val="80"/>
              <w:jc w:val="center"/>
              <w:rPr>
                <w:rFonts w:hint="eastAsia" w:ascii="宋体" w:hAnsi="宋体" w:cs="宋体"/>
              </w:rPr>
            </w:pPr>
            <w:r>
              <w:rPr>
                <w:rFonts w:hint="eastAsia" w:ascii="宋体" w:hAnsi="宋体" w:cs="宋体"/>
              </w:rPr>
              <w:t>人员防护套装</w:t>
            </w:r>
          </w:p>
        </w:tc>
        <w:tc>
          <w:tcPr>
            <w:tcW w:w="3571" w:type="pct"/>
            <w:vAlign w:val="center"/>
          </w:tcPr>
          <w:p w14:paraId="7A7BA6D0">
            <w:pPr>
              <w:pStyle w:val="80"/>
              <w:ind w:left="105" w:leftChars="50"/>
              <w:jc w:val="left"/>
              <w:rPr>
                <w:rFonts w:hint="eastAsia" w:ascii="宋体" w:hAnsi="宋体" w:cs="宋体"/>
              </w:rPr>
            </w:pPr>
            <w:r>
              <w:rPr>
                <w:rFonts w:hint="eastAsia" w:ascii="宋体" w:hAnsi="宋体" w:cs="宋体"/>
              </w:rPr>
              <w:t>1.绝缘1双手套：全绝缘或掌心涂绝缘层绝缘电压≥1kV；</w:t>
            </w:r>
            <w:r>
              <w:rPr>
                <w:rFonts w:hint="eastAsia" w:ascii="宋体" w:hAnsi="宋体" w:cs="宋体"/>
              </w:rPr>
              <w:br w:type="textWrapping"/>
            </w:r>
            <w:r>
              <w:rPr>
                <w:rFonts w:hint="eastAsia" w:ascii="宋体" w:hAnsi="宋体" w:cs="宋体"/>
              </w:rPr>
              <w:t>2.防酸碱1双手套：耐腐蚀，可瞬间点触稀硫酸不氧化；</w:t>
            </w:r>
            <w:r>
              <w:rPr>
                <w:rFonts w:hint="eastAsia" w:ascii="宋体" w:hAnsi="宋体" w:cs="宋体"/>
              </w:rPr>
              <w:br w:type="textWrapping"/>
            </w:r>
            <w:r>
              <w:rPr>
                <w:rFonts w:hint="eastAsia" w:ascii="宋体" w:hAnsi="宋体" w:cs="宋体"/>
              </w:rPr>
              <w:t>3.绝缘电工1双鞋：≥5kV；</w:t>
            </w:r>
            <w:r>
              <w:rPr>
                <w:rFonts w:hint="eastAsia" w:ascii="宋体" w:hAnsi="宋体" w:cs="宋体"/>
              </w:rPr>
              <w:br w:type="textWrapping"/>
            </w:r>
            <w:r>
              <w:rPr>
                <w:rFonts w:hint="eastAsia" w:ascii="宋体" w:hAnsi="宋体" w:cs="宋体"/>
              </w:rPr>
              <w:t>4.绝缘工作服1套：分体，耐压5kV；</w:t>
            </w:r>
            <w:r>
              <w:rPr>
                <w:rFonts w:hint="eastAsia" w:ascii="宋体" w:hAnsi="宋体" w:cs="宋体"/>
              </w:rPr>
              <w:br w:type="textWrapping"/>
            </w:r>
            <w:r>
              <w:rPr>
                <w:rFonts w:hint="eastAsia" w:ascii="宋体" w:hAnsi="宋体" w:cs="宋体"/>
              </w:rPr>
              <w:t>5.防护眼镜1副：可阻挡紫外线光；</w:t>
            </w:r>
            <w:r>
              <w:rPr>
                <w:rFonts w:hint="eastAsia" w:ascii="宋体" w:hAnsi="宋体" w:cs="宋体"/>
              </w:rPr>
              <w:br w:type="textWrapping"/>
            </w:r>
            <w:r>
              <w:rPr>
                <w:rFonts w:hint="eastAsia" w:ascii="宋体" w:hAnsi="宋体" w:cs="宋体"/>
              </w:rPr>
              <w:t>6.安全帽1个：绝缘电压≥7kV。</w:t>
            </w:r>
          </w:p>
        </w:tc>
        <w:tc>
          <w:tcPr>
            <w:tcW w:w="357" w:type="pct"/>
            <w:vAlign w:val="center"/>
          </w:tcPr>
          <w:p w14:paraId="74BB860D">
            <w:pPr>
              <w:jc w:val="center"/>
              <w:rPr>
                <w:rFonts w:hint="eastAsia" w:ascii="宋体" w:hAnsi="宋体" w:cs="宋体"/>
                <w:szCs w:val="21"/>
              </w:rPr>
            </w:pPr>
            <w:r>
              <w:rPr>
                <w:rFonts w:hint="eastAsia" w:ascii="宋体" w:hAnsi="宋体" w:cs="宋体"/>
                <w:szCs w:val="21"/>
              </w:rPr>
              <w:t>4</w:t>
            </w:r>
          </w:p>
        </w:tc>
        <w:tc>
          <w:tcPr>
            <w:tcW w:w="341" w:type="pct"/>
            <w:vAlign w:val="center"/>
          </w:tcPr>
          <w:p w14:paraId="591290BD">
            <w:pPr>
              <w:jc w:val="center"/>
              <w:rPr>
                <w:rFonts w:hint="eastAsia" w:ascii="宋体" w:hAnsi="宋体" w:cs="宋体"/>
                <w:szCs w:val="21"/>
              </w:rPr>
            </w:pPr>
            <w:r>
              <w:rPr>
                <w:rFonts w:hint="eastAsia" w:ascii="宋体" w:hAnsi="宋体" w:cs="宋体"/>
                <w:szCs w:val="21"/>
              </w:rPr>
              <w:t>套</w:t>
            </w:r>
          </w:p>
        </w:tc>
      </w:tr>
      <w:tr w14:paraId="31B5C9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trHeight w:val="695" w:hRule="atLeast"/>
        </w:trPr>
        <w:tc>
          <w:tcPr>
            <w:tcW w:w="193" w:type="pct"/>
            <w:vAlign w:val="center"/>
          </w:tcPr>
          <w:p w14:paraId="2CB06772">
            <w:pPr>
              <w:jc w:val="center"/>
              <w:rPr>
                <w:rFonts w:hint="eastAsia" w:ascii="宋体" w:hAnsi="宋体" w:cs="宋体"/>
                <w:b/>
                <w:bCs/>
                <w:szCs w:val="21"/>
              </w:rPr>
            </w:pPr>
            <w:r>
              <w:rPr>
                <w:rFonts w:hint="eastAsia" w:ascii="宋体" w:hAnsi="宋体" w:cs="宋体"/>
                <w:szCs w:val="21"/>
              </w:rPr>
              <w:t>37</w:t>
            </w:r>
          </w:p>
        </w:tc>
        <w:tc>
          <w:tcPr>
            <w:tcW w:w="536" w:type="pct"/>
            <w:vAlign w:val="center"/>
          </w:tcPr>
          <w:p w14:paraId="067D4653">
            <w:pPr>
              <w:pStyle w:val="80"/>
              <w:jc w:val="center"/>
              <w:rPr>
                <w:rFonts w:hint="eastAsia" w:ascii="宋体" w:hAnsi="宋体" w:cs="宋体"/>
              </w:rPr>
            </w:pPr>
            <w:r>
              <w:rPr>
                <w:rFonts w:hint="eastAsia" w:ascii="宋体" w:hAnsi="宋体" w:cs="宋体"/>
              </w:rPr>
              <w:t>工位防护套装</w:t>
            </w:r>
          </w:p>
        </w:tc>
        <w:tc>
          <w:tcPr>
            <w:tcW w:w="3571" w:type="pct"/>
            <w:vAlign w:val="center"/>
          </w:tcPr>
          <w:p w14:paraId="0EFFA3B0">
            <w:pPr>
              <w:pStyle w:val="80"/>
              <w:ind w:left="105" w:leftChars="50"/>
              <w:jc w:val="left"/>
              <w:rPr>
                <w:rFonts w:hint="eastAsia" w:ascii="宋体" w:hAnsi="宋体" w:cs="宋体"/>
              </w:rPr>
            </w:pPr>
            <w:r>
              <w:rPr>
                <w:rFonts w:hint="eastAsia" w:ascii="宋体" w:hAnsi="宋体" w:cs="宋体"/>
              </w:rPr>
              <w:t>绝缘防护垫  1张</w:t>
            </w:r>
            <w:r>
              <w:rPr>
                <w:rFonts w:hint="eastAsia" w:ascii="宋体" w:hAnsi="宋体" w:cs="宋体"/>
              </w:rPr>
              <w:br w:type="textWrapping"/>
            </w:r>
            <w:r>
              <w:rPr>
                <w:rFonts w:hint="eastAsia" w:ascii="宋体" w:hAnsi="宋体" w:cs="宋体"/>
              </w:rPr>
              <w:t>基本要求：</w:t>
            </w:r>
            <w:r>
              <w:rPr>
                <w:rFonts w:hint="eastAsia" w:ascii="宋体" w:hAnsi="宋体" w:cs="宋体"/>
              </w:rPr>
              <w:br w:type="textWrapping"/>
            </w:r>
            <w:r>
              <w:rPr>
                <w:rFonts w:hint="eastAsia" w:ascii="宋体" w:hAnsi="宋体" w:cs="宋体"/>
              </w:rPr>
              <w:t>1. 该产品用于铺设新能源汽车维修工位地面，以营造绝缘工作环境，能有效防止触电事故；</w:t>
            </w:r>
            <w:r>
              <w:rPr>
                <w:rFonts w:hint="eastAsia" w:ascii="宋体" w:hAnsi="宋体" w:cs="宋体"/>
              </w:rPr>
              <w:br w:type="textWrapping"/>
            </w:r>
            <w:r>
              <w:rPr>
                <w:rFonts w:hint="eastAsia" w:ascii="宋体" w:hAnsi="宋体" w:cs="宋体"/>
              </w:rPr>
              <w:t>2. 材  质：天然橡胶</w:t>
            </w:r>
            <w:r>
              <w:rPr>
                <w:rFonts w:hint="eastAsia" w:ascii="宋体" w:hAnsi="宋体" w:cs="宋体"/>
              </w:rPr>
              <w:br w:type="textWrapping"/>
            </w:r>
            <w:r>
              <w:rPr>
                <w:rFonts w:hint="eastAsia" w:ascii="宋体" w:hAnsi="宋体" w:cs="宋体"/>
              </w:rPr>
              <w:t>3. 规  格：宽1000mm，厚5mm</w:t>
            </w:r>
            <w:r>
              <w:rPr>
                <w:rFonts w:hint="eastAsia" w:ascii="宋体" w:hAnsi="宋体" w:cs="宋体"/>
              </w:rPr>
              <w:br w:type="textWrapping"/>
            </w:r>
            <w:r>
              <w:rPr>
                <w:rFonts w:hint="eastAsia" w:ascii="宋体" w:hAnsi="宋体" w:cs="宋体"/>
              </w:rPr>
              <w:t>4. 绝缘耐压：10KV</w:t>
            </w:r>
            <w:r>
              <w:rPr>
                <w:rFonts w:hint="eastAsia" w:ascii="宋体" w:hAnsi="宋体" w:cs="宋体"/>
              </w:rPr>
              <w:br w:type="textWrapping"/>
            </w:r>
            <w:r>
              <w:rPr>
                <w:rFonts w:hint="eastAsia" w:ascii="宋体" w:hAnsi="宋体" w:cs="宋体"/>
              </w:rPr>
              <w:t>5. 颜  色：绿色，表面有防滑条纹设计</w:t>
            </w:r>
            <w:r>
              <w:rPr>
                <w:rFonts w:hint="eastAsia" w:ascii="宋体" w:hAnsi="宋体" w:cs="宋体"/>
              </w:rPr>
              <w:br w:type="textWrapping"/>
            </w:r>
            <w:r>
              <w:rPr>
                <w:rFonts w:hint="eastAsia" w:ascii="宋体" w:hAnsi="宋体" w:cs="宋体"/>
              </w:rPr>
              <w:t>6. 执行标准：HG 2949-1999</w:t>
            </w:r>
            <w:r>
              <w:rPr>
                <w:rFonts w:hint="eastAsia" w:ascii="宋体" w:hAnsi="宋体" w:cs="宋体"/>
              </w:rPr>
              <w:br w:type="textWrapping"/>
            </w:r>
            <w:r>
              <w:rPr>
                <w:rFonts w:hint="eastAsia" w:ascii="宋体" w:hAnsi="宋体" w:cs="宋体"/>
              </w:rPr>
              <w:t>绝缘防护栏  6个</w:t>
            </w:r>
            <w:r>
              <w:rPr>
                <w:rFonts w:hint="eastAsia" w:ascii="宋体" w:hAnsi="宋体" w:cs="宋体"/>
              </w:rPr>
              <w:br w:type="textWrapping"/>
            </w:r>
            <w:r>
              <w:rPr>
                <w:rFonts w:hint="eastAsia" w:ascii="宋体" w:hAnsi="宋体" w:cs="宋体"/>
              </w:rPr>
              <w:t>基本要求：</w:t>
            </w:r>
            <w:r>
              <w:rPr>
                <w:rFonts w:hint="eastAsia" w:ascii="宋体" w:hAnsi="宋体" w:cs="宋体"/>
              </w:rPr>
              <w:br w:type="textWrapping"/>
            </w:r>
            <w:r>
              <w:rPr>
                <w:rFonts w:hint="eastAsia" w:ascii="宋体" w:hAnsi="宋体" w:cs="宋体"/>
              </w:rPr>
              <w:t>1. 采用高强度绝缘材料制作；红白相间有警示作用；</w:t>
            </w:r>
            <w:r>
              <w:rPr>
                <w:rFonts w:hint="eastAsia" w:ascii="宋体" w:hAnsi="宋体" w:cs="宋体"/>
              </w:rPr>
              <w:br w:type="textWrapping"/>
            </w:r>
            <w:r>
              <w:rPr>
                <w:rFonts w:hint="eastAsia" w:ascii="宋体" w:hAnsi="宋体" w:cs="宋体"/>
              </w:rPr>
              <w:t>2. 双层防护警示带，带明显警示标志及字样，可自由伸缩5M；</w:t>
            </w:r>
            <w:r>
              <w:rPr>
                <w:rFonts w:hint="eastAsia" w:ascii="宋体" w:hAnsi="宋体" w:cs="宋体"/>
              </w:rPr>
              <w:br w:type="textWrapping"/>
            </w:r>
            <w:r>
              <w:rPr>
                <w:rFonts w:hint="eastAsia" w:ascii="宋体" w:hAnsi="宋体" w:cs="宋体"/>
              </w:rPr>
              <w:t>3. 底座规格：350mm，采用特殊设计，稳固厚重，可有效防止倾倒；</w:t>
            </w:r>
            <w:r>
              <w:rPr>
                <w:rFonts w:hint="eastAsia" w:ascii="宋体" w:hAnsi="宋体" w:cs="宋体"/>
              </w:rPr>
              <w:br w:type="textWrapping"/>
            </w:r>
            <w:r>
              <w:rPr>
                <w:rFonts w:hint="eastAsia" w:ascii="宋体" w:hAnsi="宋体" w:cs="宋体"/>
              </w:rPr>
              <w:t>4. 玻璃钢管直径：7.6mm</w:t>
            </w:r>
            <w:r>
              <w:rPr>
                <w:rFonts w:hint="eastAsia" w:ascii="宋体" w:hAnsi="宋体" w:cs="宋体"/>
              </w:rPr>
              <w:br w:type="textWrapping"/>
            </w:r>
            <w:r>
              <w:rPr>
                <w:rFonts w:hint="eastAsia" w:ascii="宋体" w:hAnsi="宋体" w:cs="宋体"/>
              </w:rPr>
              <w:t>5. 高  度：1000mm</w:t>
            </w:r>
            <w:r>
              <w:rPr>
                <w:rFonts w:hint="eastAsia" w:ascii="宋体" w:hAnsi="宋体" w:cs="宋体"/>
              </w:rPr>
              <w:br w:type="textWrapping"/>
            </w:r>
            <w:r>
              <w:rPr>
                <w:rFonts w:hint="eastAsia" w:ascii="宋体" w:hAnsi="宋体" w:cs="宋体"/>
              </w:rPr>
              <w:t>安全警告标注  1个</w:t>
            </w:r>
            <w:r>
              <w:rPr>
                <w:rFonts w:hint="eastAsia" w:ascii="宋体" w:hAnsi="宋体" w:cs="宋体"/>
              </w:rPr>
              <w:br w:type="textWrapping"/>
            </w:r>
            <w:r>
              <w:rPr>
                <w:rFonts w:hint="eastAsia" w:ascii="宋体" w:hAnsi="宋体" w:cs="宋体"/>
              </w:rPr>
              <w:t>基本要求：</w:t>
            </w:r>
            <w:r>
              <w:rPr>
                <w:rFonts w:hint="eastAsia" w:ascii="宋体" w:hAnsi="宋体" w:cs="宋体"/>
              </w:rPr>
              <w:br w:type="textWrapping"/>
            </w:r>
            <w:r>
              <w:rPr>
                <w:rFonts w:hint="eastAsia" w:ascii="宋体" w:hAnsi="宋体" w:cs="宋体"/>
              </w:rPr>
              <w:t>1. 主要设置在车顶/墙壁/入口等；</w:t>
            </w:r>
            <w:r>
              <w:rPr>
                <w:rFonts w:hint="eastAsia" w:ascii="宋体" w:hAnsi="宋体" w:cs="宋体"/>
              </w:rPr>
              <w:br w:type="textWrapping"/>
            </w:r>
            <w:r>
              <w:rPr>
                <w:rFonts w:hint="eastAsia" w:ascii="宋体" w:hAnsi="宋体" w:cs="宋体"/>
              </w:rPr>
              <w:t>2. 全方位高压危险警告标识系统。</w:t>
            </w:r>
          </w:p>
        </w:tc>
        <w:tc>
          <w:tcPr>
            <w:tcW w:w="357" w:type="pct"/>
            <w:vAlign w:val="center"/>
          </w:tcPr>
          <w:p w14:paraId="00375FFF">
            <w:pPr>
              <w:jc w:val="center"/>
              <w:rPr>
                <w:rFonts w:hint="eastAsia" w:ascii="宋体" w:hAnsi="宋体" w:cs="宋体"/>
                <w:szCs w:val="21"/>
              </w:rPr>
            </w:pPr>
            <w:r>
              <w:rPr>
                <w:rFonts w:hint="eastAsia" w:ascii="宋体" w:hAnsi="宋体" w:cs="宋体"/>
                <w:szCs w:val="21"/>
              </w:rPr>
              <w:t>4</w:t>
            </w:r>
          </w:p>
        </w:tc>
        <w:tc>
          <w:tcPr>
            <w:tcW w:w="341" w:type="pct"/>
            <w:vAlign w:val="center"/>
          </w:tcPr>
          <w:p w14:paraId="676A70EF">
            <w:pPr>
              <w:jc w:val="center"/>
              <w:rPr>
                <w:rFonts w:hint="eastAsia" w:ascii="宋体" w:hAnsi="宋体" w:cs="宋体"/>
                <w:szCs w:val="21"/>
              </w:rPr>
            </w:pPr>
          </w:p>
          <w:p w14:paraId="797B5C9C">
            <w:pPr>
              <w:jc w:val="center"/>
              <w:rPr>
                <w:rFonts w:hint="eastAsia" w:ascii="宋体" w:hAnsi="宋体" w:cs="宋体"/>
                <w:szCs w:val="21"/>
              </w:rPr>
            </w:pPr>
          </w:p>
          <w:p w14:paraId="0C9CC875">
            <w:pPr>
              <w:jc w:val="center"/>
              <w:rPr>
                <w:rFonts w:hint="eastAsia" w:ascii="宋体" w:hAnsi="宋体" w:cs="宋体"/>
                <w:szCs w:val="21"/>
              </w:rPr>
            </w:pPr>
          </w:p>
          <w:p w14:paraId="75C2E6AD">
            <w:pPr>
              <w:jc w:val="center"/>
              <w:rPr>
                <w:rFonts w:hint="eastAsia" w:ascii="宋体" w:hAnsi="宋体" w:cs="宋体"/>
                <w:szCs w:val="21"/>
              </w:rPr>
            </w:pPr>
            <w:r>
              <w:rPr>
                <w:rFonts w:hint="eastAsia" w:ascii="宋体" w:hAnsi="宋体" w:cs="宋体"/>
                <w:szCs w:val="21"/>
              </w:rPr>
              <w:t>套</w:t>
            </w:r>
          </w:p>
          <w:p w14:paraId="51186133">
            <w:pPr>
              <w:jc w:val="center"/>
              <w:rPr>
                <w:rFonts w:hint="eastAsia" w:ascii="宋体" w:hAnsi="宋体" w:cs="宋体"/>
                <w:szCs w:val="21"/>
              </w:rPr>
            </w:pPr>
          </w:p>
          <w:p w14:paraId="2F55C02A">
            <w:pPr>
              <w:jc w:val="center"/>
              <w:rPr>
                <w:rFonts w:hint="eastAsia" w:ascii="宋体" w:hAnsi="宋体" w:cs="宋体"/>
                <w:szCs w:val="21"/>
              </w:rPr>
            </w:pPr>
          </w:p>
          <w:p w14:paraId="07B9CE8C">
            <w:pPr>
              <w:jc w:val="center"/>
              <w:rPr>
                <w:rFonts w:hint="eastAsia" w:ascii="宋体" w:hAnsi="宋体" w:cs="宋体"/>
                <w:szCs w:val="21"/>
              </w:rPr>
            </w:pPr>
          </w:p>
          <w:p w14:paraId="7E3588AD">
            <w:pPr>
              <w:jc w:val="center"/>
              <w:rPr>
                <w:rFonts w:hint="eastAsia" w:ascii="宋体" w:hAnsi="宋体" w:cs="宋体"/>
                <w:szCs w:val="21"/>
              </w:rPr>
            </w:pPr>
          </w:p>
          <w:p w14:paraId="66C96169">
            <w:pPr>
              <w:jc w:val="center"/>
              <w:rPr>
                <w:rFonts w:hint="eastAsia" w:ascii="宋体" w:hAnsi="宋体" w:cs="宋体"/>
                <w:szCs w:val="21"/>
              </w:rPr>
            </w:pPr>
          </w:p>
          <w:p w14:paraId="56AAF00E">
            <w:pPr>
              <w:jc w:val="center"/>
              <w:rPr>
                <w:rFonts w:hint="eastAsia" w:ascii="宋体" w:hAnsi="宋体" w:cs="宋体"/>
                <w:szCs w:val="21"/>
              </w:rPr>
            </w:pPr>
          </w:p>
          <w:p w14:paraId="76C82D0A">
            <w:pPr>
              <w:jc w:val="center"/>
              <w:rPr>
                <w:rFonts w:hint="eastAsia" w:ascii="宋体" w:hAnsi="宋体" w:cs="宋体"/>
                <w:szCs w:val="21"/>
              </w:rPr>
            </w:pPr>
          </w:p>
          <w:p w14:paraId="7874BE4F">
            <w:pPr>
              <w:jc w:val="center"/>
              <w:rPr>
                <w:rFonts w:hint="eastAsia" w:ascii="宋体" w:hAnsi="宋体" w:cs="宋体"/>
                <w:szCs w:val="21"/>
              </w:rPr>
            </w:pPr>
          </w:p>
        </w:tc>
      </w:tr>
      <w:tr w14:paraId="733DE5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trHeight w:val="695" w:hRule="atLeast"/>
        </w:trPr>
        <w:tc>
          <w:tcPr>
            <w:tcW w:w="193" w:type="pct"/>
            <w:vAlign w:val="center"/>
          </w:tcPr>
          <w:p w14:paraId="25F73D8D">
            <w:pPr>
              <w:jc w:val="center"/>
              <w:rPr>
                <w:rFonts w:hint="eastAsia" w:ascii="宋体" w:hAnsi="宋体" w:cs="宋体"/>
                <w:b/>
                <w:bCs/>
                <w:szCs w:val="21"/>
              </w:rPr>
            </w:pPr>
            <w:r>
              <w:rPr>
                <w:rFonts w:hint="eastAsia" w:ascii="宋体" w:hAnsi="宋体" w:cs="宋体"/>
                <w:szCs w:val="21"/>
              </w:rPr>
              <w:t>38</w:t>
            </w:r>
          </w:p>
        </w:tc>
        <w:tc>
          <w:tcPr>
            <w:tcW w:w="536" w:type="pct"/>
            <w:vAlign w:val="center"/>
          </w:tcPr>
          <w:p w14:paraId="190109C4">
            <w:pPr>
              <w:pStyle w:val="80"/>
              <w:jc w:val="center"/>
              <w:rPr>
                <w:rFonts w:hint="eastAsia" w:ascii="宋体" w:hAnsi="宋体" w:cs="宋体"/>
              </w:rPr>
            </w:pPr>
            <w:r>
              <w:rPr>
                <w:rFonts w:hint="eastAsia" w:ascii="宋体" w:hAnsi="宋体" w:cs="宋体"/>
              </w:rPr>
              <w:t>诊断仪（解码器）</w:t>
            </w:r>
          </w:p>
        </w:tc>
        <w:tc>
          <w:tcPr>
            <w:tcW w:w="3571" w:type="pct"/>
            <w:vAlign w:val="center"/>
          </w:tcPr>
          <w:p w14:paraId="57E058E0">
            <w:pPr>
              <w:pStyle w:val="80"/>
              <w:ind w:left="105" w:leftChars="50"/>
              <w:jc w:val="left"/>
              <w:rPr>
                <w:rFonts w:hint="eastAsia" w:ascii="宋体" w:hAnsi="宋体" w:cs="宋体"/>
              </w:rPr>
            </w:pPr>
            <w:r>
              <w:rPr>
                <w:rFonts w:hint="eastAsia" w:ascii="宋体" w:hAnsi="宋体" w:cs="宋体"/>
              </w:rPr>
              <w:t>采用强大的三星Exynos四核处理器</w:t>
            </w:r>
            <w:r>
              <w:rPr>
                <w:rFonts w:hint="eastAsia" w:ascii="宋体" w:hAnsi="宋体" w:cs="宋体"/>
              </w:rPr>
              <w:br w:type="textWrapping"/>
            </w:r>
            <w:r>
              <w:rPr>
                <w:rFonts w:hint="eastAsia" w:ascii="宋体" w:hAnsi="宋体" w:cs="宋体"/>
              </w:rPr>
              <w:t>9.7英寸1,024*768 LED电容式触摸屏</w:t>
            </w:r>
            <w:r>
              <w:rPr>
                <w:rFonts w:hint="eastAsia" w:ascii="宋体" w:hAnsi="宋体" w:cs="宋体"/>
              </w:rPr>
              <w:br w:type="textWrapping"/>
            </w:r>
            <w:r>
              <w:rPr>
                <w:rFonts w:hint="eastAsia" w:ascii="宋体" w:hAnsi="宋体" w:cs="宋体"/>
              </w:rPr>
              <w:t>内置稳定、快速的32GB固态硬盘驱动</w:t>
            </w:r>
            <w:r>
              <w:rPr>
                <w:rFonts w:hint="eastAsia" w:ascii="宋体" w:hAnsi="宋体" w:cs="宋体"/>
              </w:rPr>
              <w:br w:type="textWrapping"/>
            </w:r>
            <w:r>
              <w:rPr>
                <w:rFonts w:hint="eastAsia" w:ascii="宋体" w:hAnsi="宋体" w:cs="宋体"/>
              </w:rPr>
              <w:t>500万像素后置摄像头，具有自动闪光聚焦功能</w:t>
            </w:r>
            <w:r>
              <w:rPr>
                <w:rFonts w:hint="eastAsia" w:ascii="宋体" w:hAnsi="宋体" w:cs="宋体"/>
              </w:rPr>
              <w:br w:type="textWrapping"/>
            </w:r>
            <w:r>
              <w:rPr>
                <w:rFonts w:hint="eastAsia" w:ascii="宋体" w:hAnsi="宋体" w:cs="宋体"/>
              </w:rPr>
              <w:t>双带2.4GHz&amp;5.0Ghz Wi-Fi模块</w:t>
            </w:r>
            <w:r>
              <w:rPr>
                <w:rFonts w:hint="eastAsia" w:ascii="宋体" w:hAnsi="宋体" w:cs="宋体"/>
              </w:rPr>
              <w:br w:type="textWrapping"/>
            </w:r>
            <w:r>
              <w:rPr>
                <w:rFonts w:hint="eastAsia" w:ascii="宋体" w:hAnsi="宋体" w:cs="宋体"/>
              </w:rPr>
              <w:t>独特的人体工程学设计，外加加固型机壳与橡胶保护套</w:t>
            </w:r>
            <w:r>
              <w:rPr>
                <w:rFonts w:hint="eastAsia" w:ascii="宋体" w:hAnsi="宋体" w:cs="宋体"/>
              </w:rPr>
              <w:br w:type="textWrapping"/>
            </w:r>
            <w:r>
              <w:rPr>
                <w:rFonts w:hint="eastAsia" w:ascii="宋体" w:hAnsi="宋体" w:cs="宋体"/>
              </w:rPr>
              <w:t>内置可再充11000mAh3.7V锂电池，可持续运行长达8小时</w:t>
            </w:r>
            <w:r>
              <w:rPr>
                <w:rFonts w:hint="eastAsia" w:ascii="宋体" w:hAnsi="宋体" w:cs="宋体"/>
              </w:rPr>
              <w:br w:type="textWrapping"/>
            </w:r>
            <w:r>
              <w:rPr>
                <w:rFonts w:hint="eastAsia" w:ascii="宋体" w:hAnsi="宋体" w:cs="宋体"/>
              </w:rPr>
              <w:t>USB、音频及多个设备端口方便设备连接</w:t>
            </w:r>
            <w:r>
              <w:rPr>
                <w:rFonts w:hint="eastAsia" w:ascii="宋体" w:hAnsi="宋体" w:cs="宋体"/>
              </w:rPr>
              <w:br w:type="textWrapping"/>
            </w:r>
            <w:r>
              <w:rPr>
                <w:rFonts w:hint="eastAsia" w:ascii="宋体" w:hAnsi="宋体" w:cs="宋体"/>
              </w:rPr>
              <w:t>支持VCI蓝牙无线连接进行移动诊断远程车辆诊断通信</w:t>
            </w:r>
            <w:r>
              <w:rPr>
                <w:rFonts w:hint="eastAsia" w:ascii="宋体" w:hAnsi="宋体" w:cs="宋体"/>
              </w:rPr>
              <w:br w:type="textWrapping"/>
            </w:r>
            <w:r>
              <w:rPr>
                <w:rFonts w:hint="eastAsia" w:ascii="宋体" w:hAnsi="宋体" w:cs="宋体"/>
              </w:rPr>
              <w:t>软件功能</w:t>
            </w:r>
            <w:r>
              <w:rPr>
                <w:rFonts w:hint="eastAsia" w:ascii="宋体" w:hAnsi="宋体" w:cs="宋体"/>
              </w:rPr>
              <w:br w:type="textWrapping"/>
            </w:r>
            <w:r>
              <w:rPr>
                <w:rFonts w:hint="eastAsia" w:ascii="宋体" w:hAnsi="宋体" w:cs="宋体"/>
              </w:rPr>
              <w:t>采用全新的Android4.0多任务开源处理系统，可进行上网及下载app</w:t>
            </w:r>
            <w:r>
              <w:rPr>
                <w:rFonts w:hint="eastAsia" w:ascii="宋体" w:hAnsi="宋体" w:cs="宋体"/>
              </w:rPr>
              <w:br w:type="textWrapping"/>
            </w:r>
            <w:r>
              <w:rPr>
                <w:rFonts w:hint="eastAsia" w:ascii="宋体" w:hAnsi="宋体" w:cs="宋体"/>
              </w:rPr>
              <w:t>简易直观的菜单、美观的UI引导让您快速掌握设备操作</w:t>
            </w:r>
            <w:r>
              <w:rPr>
                <w:rFonts w:hint="eastAsia" w:ascii="宋体" w:hAnsi="宋体" w:cs="宋体"/>
              </w:rPr>
              <w:br w:type="textWrapping"/>
            </w:r>
            <w:r>
              <w:rPr>
                <w:rFonts w:hint="eastAsia" w:ascii="宋体" w:hAnsi="宋体" w:cs="宋体"/>
              </w:rPr>
              <w:t>支持超过120种国产、合资及进口车型诊断</w:t>
            </w:r>
            <w:r>
              <w:rPr>
                <w:rFonts w:hint="eastAsia" w:ascii="宋体" w:hAnsi="宋体" w:cs="宋体"/>
              </w:rPr>
              <w:br w:type="textWrapping"/>
            </w:r>
            <w:r>
              <w:rPr>
                <w:rFonts w:hint="eastAsia" w:ascii="宋体" w:hAnsi="宋体" w:cs="宋体"/>
              </w:rPr>
              <w:t>提供包括读码、清码、数据流、动作测试、自适应等完整诊断功能</w:t>
            </w:r>
            <w:r>
              <w:rPr>
                <w:rFonts w:hint="eastAsia" w:ascii="宋体" w:hAnsi="宋体" w:cs="宋体"/>
              </w:rPr>
              <w:br w:type="textWrapping"/>
            </w:r>
            <w:r>
              <w:rPr>
                <w:rFonts w:hint="eastAsia" w:ascii="宋体" w:hAnsi="宋体" w:cs="宋体"/>
              </w:rPr>
              <w:t>文本、波形图和仪表图等个性化、多样化数据流显示模式，让您轻松浏览和分析数据</w:t>
            </w:r>
            <w:r>
              <w:rPr>
                <w:rFonts w:hint="eastAsia" w:ascii="宋体" w:hAnsi="宋体" w:cs="宋体"/>
              </w:rPr>
              <w:br w:type="textWrapping"/>
            </w:r>
            <w:r>
              <w:rPr>
                <w:rFonts w:hint="eastAsia" w:ascii="宋体" w:hAnsi="宋体" w:cs="宋体"/>
              </w:rPr>
              <w:t>超灵敏触摸屏只需轻轻一点即可配置功能选项、设置开关并录制和回放测试结果</w:t>
            </w:r>
            <w:r>
              <w:rPr>
                <w:rFonts w:hint="eastAsia" w:ascii="宋体" w:hAnsi="宋体" w:cs="宋体"/>
              </w:rPr>
              <w:br w:type="textWrapping"/>
            </w:r>
            <w:r>
              <w:rPr>
                <w:rFonts w:hint="eastAsia" w:ascii="宋体" w:hAnsi="宋体" w:cs="宋体"/>
              </w:rPr>
              <w:t>记录和回放实时数据流，快速准确的定位传感器和组件故障</w:t>
            </w:r>
            <w:r>
              <w:rPr>
                <w:rFonts w:hint="eastAsia" w:ascii="宋体" w:hAnsi="宋体" w:cs="宋体"/>
              </w:rPr>
              <w:br w:type="textWrapping"/>
            </w:r>
            <w:r>
              <w:rPr>
                <w:rFonts w:hint="eastAsia" w:ascii="宋体" w:hAnsi="宋体" w:cs="宋体"/>
              </w:rPr>
              <w:t>使用云端数据管理技术，通过线上数据库查找诊断信息并与专家在线交流维修技巧</w:t>
            </w:r>
            <w:r>
              <w:rPr>
                <w:rFonts w:hint="eastAsia" w:ascii="宋体" w:hAnsi="宋体" w:cs="宋体"/>
              </w:rPr>
              <w:br w:type="textWrapping"/>
            </w:r>
            <w:r>
              <w:rPr>
                <w:rFonts w:hint="eastAsia" w:ascii="宋体" w:hAnsi="宋体" w:cs="宋体"/>
              </w:rPr>
              <w:t>远程桌面功能方便技术人员通过互联网直接向客户提供技术支持</w:t>
            </w:r>
            <w:r>
              <w:rPr>
                <w:rFonts w:hint="eastAsia" w:ascii="宋体" w:hAnsi="宋体" w:cs="宋体"/>
              </w:rPr>
              <w:br w:type="textWrapping"/>
            </w:r>
            <w:r>
              <w:rPr>
                <w:rFonts w:hint="eastAsia" w:ascii="宋体" w:hAnsi="宋体" w:cs="宋体"/>
              </w:rPr>
              <w:t>通过Wi-Fi连接互联网获得自动软件更新，并可随时随地打印各类诊断数据及报告</w:t>
            </w:r>
            <w:r>
              <w:rPr>
                <w:rFonts w:hint="eastAsia" w:ascii="宋体" w:hAnsi="宋体" w:cs="宋体"/>
              </w:rPr>
              <w:br w:type="textWrapping"/>
            </w:r>
            <w:r>
              <w:rPr>
                <w:rFonts w:hint="eastAsia" w:ascii="宋体" w:hAnsi="宋体" w:cs="宋体"/>
              </w:rPr>
              <w:t>支持功能(包含但不仅限于)</w:t>
            </w:r>
            <w:r>
              <w:rPr>
                <w:rFonts w:hint="eastAsia" w:ascii="宋体" w:hAnsi="宋体" w:cs="宋体"/>
              </w:rPr>
              <w:br w:type="textWrapping"/>
            </w:r>
            <w:r>
              <w:rPr>
                <w:rFonts w:hint="eastAsia" w:ascii="宋体" w:hAnsi="宋体" w:cs="宋体"/>
              </w:rPr>
              <w:t>设码、配置、编码、保养灯归零、节气门匹配、钥匙匹配、匹配自适应、基本设定、大众密码读取、读取故障码、清除故障码、读取VIN码、写入VIN码、读取数据流、读取电脑版本信息、清除学习值、安全登录、元件测试、自动检测全系统 ...</w:t>
            </w:r>
          </w:p>
        </w:tc>
        <w:tc>
          <w:tcPr>
            <w:tcW w:w="357" w:type="pct"/>
            <w:vAlign w:val="center"/>
          </w:tcPr>
          <w:p w14:paraId="54BE7DD0">
            <w:pPr>
              <w:jc w:val="center"/>
              <w:rPr>
                <w:rFonts w:hint="eastAsia" w:ascii="宋体" w:hAnsi="宋体" w:cs="宋体"/>
                <w:szCs w:val="21"/>
              </w:rPr>
            </w:pPr>
            <w:r>
              <w:rPr>
                <w:rFonts w:hint="eastAsia" w:ascii="宋体" w:hAnsi="宋体" w:cs="宋体"/>
                <w:szCs w:val="21"/>
              </w:rPr>
              <w:t>3</w:t>
            </w:r>
          </w:p>
        </w:tc>
        <w:tc>
          <w:tcPr>
            <w:tcW w:w="341" w:type="pct"/>
            <w:vAlign w:val="center"/>
          </w:tcPr>
          <w:p w14:paraId="2AED78BE">
            <w:pPr>
              <w:jc w:val="center"/>
              <w:rPr>
                <w:rFonts w:hint="eastAsia" w:ascii="宋体" w:hAnsi="宋体" w:cs="宋体"/>
                <w:szCs w:val="21"/>
              </w:rPr>
            </w:pPr>
            <w:r>
              <w:rPr>
                <w:rFonts w:hint="eastAsia" w:ascii="宋体" w:hAnsi="宋体" w:cs="宋体"/>
                <w:szCs w:val="21"/>
              </w:rPr>
              <w:t>套</w:t>
            </w:r>
          </w:p>
        </w:tc>
      </w:tr>
      <w:tr w14:paraId="5412F3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trHeight w:val="695" w:hRule="atLeast"/>
        </w:trPr>
        <w:tc>
          <w:tcPr>
            <w:tcW w:w="193" w:type="pct"/>
            <w:vAlign w:val="center"/>
          </w:tcPr>
          <w:p w14:paraId="28905BA8">
            <w:pPr>
              <w:jc w:val="center"/>
              <w:rPr>
                <w:rFonts w:hint="eastAsia" w:ascii="宋体" w:hAnsi="宋体" w:cs="宋体"/>
                <w:b/>
                <w:bCs/>
                <w:szCs w:val="21"/>
              </w:rPr>
            </w:pPr>
            <w:r>
              <w:rPr>
                <w:rFonts w:hint="eastAsia" w:ascii="宋体" w:hAnsi="宋体" w:cs="宋体"/>
                <w:szCs w:val="21"/>
              </w:rPr>
              <w:t>39</w:t>
            </w:r>
          </w:p>
        </w:tc>
        <w:tc>
          <w:tcPr>
            <w:tcW w:w="536" w:type="pct"/>
            <w:vAlign w:val="center"/>
          </w:tcPr>
          <w:p w14:paraId="451917AB">
            <w:pPr>
              <w:pStyle w:val="80"/>
              <w:jc w:val="center"/>
              <w:rPr>
                <w:rFonts w:hint="eastAsia" w:ascii="宋体" w:hAnsi="宋体" w:cs="宋体"/>
              </w:rPr>
            </w:pPr>
            <w:r>
              <w:rPr>
                <w:rFonts w:hint="eastAsia" w:ascii="宋体" w:hAnsi="宋体" w:cs="宋体"/>
              </w:rPr>
              <w:t>接地电阻测试仪</w:t>
            </w:r>
          </w:p>
        </w:tc>
        <w:tc>
          <w:tcPr>
            <w:tcW w:w="3571" w:type="pct"/>
            <w:vAlign w:val="center"/>
          </w:tcPr>
          <w:p w14:paraId="6EADDA94">
            <w:pPr>
              <w:pStyle w:val="80"/>
              <w:ind w:left="105" w:leftChars="50"/>
              <w:jc w:val="left"/>
              <w:rPr>
                <w:rFonts w:hint="eastAsia" w:ascii="宋体" w:hAnsi="宋体" w:cs="宋体"/>
              </w:rPr>
            </w:pPr>
            <w:r>
              <w:rPr>
                <w:rFonts w:hint="eastAsia" w:ascii="宋体" w:hAnsi="宋体" w:cs="宋体"/>
              </w:rPr>
              <w:t>1、可进行接地电阻测试范围0-1000Ω；</w:t>
            </w:r>
            <w:r>
              <w:rPr>
                <w:rFonts w:hint="eastAsia" w:ascii="宋体" w:hAnsi="宋体" w:cs="宋体"/>
              </w:rPr>
              <w:br w:type="textWrapping"/>
            </w:r>
            <w:r>
              <w:rPr>
                <w:rFonts w:hint="eastAsia" w:ascii="宋体" w:hAnsi="宋体" w:cs="宋体"/>
              </w:rPr>
              <w:t>2、含金属摇柄额定转速：150r/min、量程选择旋钮、倍率选择开关、电流测量、表盘。</w:t>
            </w:r>
            <w:r>
              <w:rPr>
                <w:rFonts w:hint="eastAsia" w:ascii="宋体" w:hAnsi="宋体" w:cs="宋体"/>
              </w:rPr>
              <w:br w:type="textWrapping"/>
            </w:r>
            <w:r>
              <w:rPr>
                <w:rFonts w:hint="eastAsia" w:ascii="宋体" w:hAnsi="宋体" w:cs="宋体"/>
              </w:rPr>
              <w:t>3、有P、C、E接线端。</w:t>
            </w:r>
            <w:r>
              <w:rPr>
                <w:rFonts w:hint="eastAsia" w:ascii="宋体" w:hAnsi="宋体" w:cs="宋体"/>
              </w:rPr>
              <w:br w:type="textWrapping"/>
            </w:r>
            <w:r>
              <w:rPr>
                <w:rFonts w:hint="eastAsia" w:ascii="宋体" w:hAnsi="宋体" w:cs="宋体"/>
              </w:rPr>
              <w:t>4、外形尺寸：（170MM-175MM）×（110MM-120MM）×（130MM-135MM）</w:t>
            </w:r>
          </w:p>
        </w:tc>
        <w:tc>
          <w:tcPr>
            <w:tcW w:w="357" w:type="pct"/>
            <w:vAlign w:val="center"/>
          </w:tcPr>
          <w:p w14:paraId="1EA74958">
            <w:pPr>
              <w:jc w:val="center"/>
              <w:rPr>
                <w:rFonts w:hint="eastAsia" w:ascii="宋体" w:hAnsi="宋体" w:cs="宋体"/>
                <w:szCs w:val="21"/>
              </w:rPr>
            </w:pPr>
            <w:r>
              <w:rPr>
                <w:rFonts w:hint="eastAsia" w:ascii="宋体" w:hAnsi="宋体" w:cs="宋体"/>
                <w:szCs w:val="21"/>
              </w:rPr>
              <w:t>3</w:t>
            </w:r>
          </w:p>
        </w:tc>
        <w:tc>
          <w:tcPr>
            <w:tcW w:w="341" w:type="pct"/>
            <w:vAlign w:val="center"/>
          </w:tcPr>
          <w:p w14:paraId="12B565E6">
            <w:pPr>
              <w:jc w:val="center"/>
              <w:rPr>
                <w:rFonts w:hint="eastAsia" w:ascii="宋体" w:hAnsi="宋体" w:cs="宋体"/>
                <w:szCs w:val="21"/>
              </w:rPr>
            </w:pPr>
            <w:r>
              <w:rPr>
                <w:rFonts w:hint="eastAsia" w:ascii="宋体" w:hAnsi="宋体" w:cs="宋体"/>
                <w:szCs w:val="21"/>
              </w:rPr>
              <w:t>套</w:t>
            </w:r>
          </w:p>
        </w:tc>
      </w:tr>
      <w:tr w14:paraId="55D9DF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trHeight w:val="695" w:hRule="atLeast"/>
        </w:trPr>
        <w:tc>
          <w:tcPr>
            <w:tcW w:w="193" w:type="pct"/>
            <w:vAlign w:val="center"/>
          </w:tcPr>
          <w:p w14:paraId="7613A819">
            <w:pPr>
              <w:jc w:val="center"/>
              <w:rPr>
                <w:rFonts w:hint="eastAsia" w:ascii="宋体" w:hAnsi="宋体" w:cs="宋体"/>
                <w:b/>
                <w:bCs/>
                <w:szCs w:val="21"/>
              </w:rPr>
            </w:pPr>
            <w:r>
              <w:rPr>
                <w:rFonts w:hint="eastAsia" w:ascii="宋体" w:hAnsi="宋体" w:cs="宋体"/>
                <w:szCs w:val="21"/>
              </w:rPr>
              <w:t>40</w:t>
            </w:r>
          </w:p>
        </w:tc>
        <w:tc>
          <w:tcPr>
            <w:tcW w:w="536" w:type="pct"/>
            <w:vAlign w:val="center"/>
          </w:tcPr>
          <w:p w14:paraId="6B24AEEE">
            <w:pPr>
              <w:pStyle w:val="80"/>
              <w:jc w:val="center"/>
              <w:rPr>
                <w:rFonts w:hint="eastAsia" w:ascii="宋体" w:hAnsi="宋体" w:cs="宋体"/>
              </w:rPr>
            </w:pPr>
            <w:r>
              <w:rPr>
                <w:rFonts w:hint="eastAsia" w:ascii="宋体" w:hAnsi="宋体" w:cs="宋体"/>
              </w:rPr>
              <w:t>绝缘电阻测试仪</w:t>
            </w:r>
          </w:p>
        </w:tc>
        <w:tc>
          <w:tcPr>
            <w:tcW w:w="3571" w:type="pct"/>
            <w:vAlign w:val="center"/>
          </w:tcPr>
          <w:p w14:paraId="7957D75E">
            <w:pPr>
              <w:pStyle w:val="80"/>
              <w:ind w:left="105" w:leftChars="50"/>
              <w:jc w:val="left"/>
              <w:rPr>
                <w:rFonts w:hint="eastAsia" w:ascii="宋体" w:hAnsi="宋体" w:cs="宋体"/>
              </w:rPr>
            </w:pPr>
            <w:r>
              <w:rPr>
                <w:rFonts w:hint="eastAsia" w:ascii="宋体" w:hAnsi="宋体" w:cs="宋体"/>
              </w:rPr>
              <w:t>MS5203是一款新型绝缘电阻测试仪，它可选择50V-1000V电压输出，绝缘电阻测试范围为：0.01M-10.00GΩ仪表设计严格遵守欧盟EN61010-1的1000V CAT III A安全等级规定，采用高速微处理器芯片，使仪表具有更高的稳定性和精确性，仪表具有直流电压测量，交流电压测量 通段电阻，绝缘电阻，短路电流，绝缘测试锁定，相对测量，报警设定，定时测量，最大值/最小值/平均值，极化指数（pi）与吸收比（DAR）数据保持，数据存储，自动关机，过载保护，带电检测报警，自动放电，背光照明，低电池指示等功能等</w:t>
            </w:r>
          </w:p>
        </w:tc>
        <w:tc>
          <w:tcPr>
            <w:tcW w:w="357" w:type="pct"/>
            <w:vAlign w:val="center"/>
          </w:tcPr>
          <w:p w14:paraId="39EE3B8B">
            <w:pPr>
              <w:jc w:val="center"/>
              <w:rPr>
                <w:rFonts w:hint="eastAsia" w:ascii="宋体" w:hAnsi="宋体" w:cs="宋体"/>
                <w:szCs w:val="21"/>
              </w:rPr>
            </w:pPr>
            <w:r>
              <w:rPr>
                <w:rFonts w:hint="eastAsia" w:ascii="宋体" w:hAnsi="宋体" w:cs="宋体"/>
                <w:szCs w:val="21"/>
              </w:rPr>
              <w:t>3</w:t>
            </w:r>
          </w:p>
        </w:tc>
        <w:tc>
          <w:tcPr>
            <w:tcW w:w="341" w:type="pct"/>
            <w:vAlign w:val="center"/>
          </w:tcPr>
          <w:p w14:paraId="036F09DC">
            <w:pPr>
              <w:jc w:val="center"/>
              <w:rPr>
                <w:rFonts w:hint="eastAsia" w:ascii="宋体" w:hAnsi="宋体" w:cs="宋体"/>
                <w:szCs w:val="21"/>
              </w:rPr>
            </w:pPr>
            <w:r>
              <w:rPr>
                <w:rFonts w:hint="eastAsia" w:ascii="宋体" w:hAnsi="宋体" w:cs="宋体"/>
                <w:szCs w:val="21"/>
              </w:rPr>
              <w:t>套</w:t>
            </w:r>
          </w:p>
        </w:tc>
      </w:tr>
      <w:tr w14:paraId="212F7F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trHeight w:val="695" w:hRule="atLeast"/>
        </w:trPr>
        <w:tc>
          <w:tcPr>
            <w:tcW w:w="193" w:type="pct"/>
            <w:vAlign w:val="center"/>
          </w:tcPr>
          <w:p w14:paraId="226187D4">
            <w:pPr>
              <w:jc w:val="center"/>
              <w:rPr>
                <w:rFonts w:hint="eastAsia" w:ascii="宋体" w:hAnsi="宋体" w:cs="宋体"/>
                <w:b/>
                <w:bCs/>
                <w:szCs w:val="21"/>
              </w:rPr>
            </w:pPr>
            <w:r>
              <w:rPr>
                <w:rFonts w:hint="eastAsia" w:ascii="宋体" w:hAnsi="宋体" w:cs="宋体"/>
                <w:szCs w:val="21"/>
              </w:rPr>
              <w:t>41</w:t>
            </w:r>
          </w:p>
        </w:tc>
        <w:tc>
          <w:tcPr>
            <w:tcW w:w="536" w:type="pct"/>
            <w:vAlign w:val="center"/>
          </w:tcPr>
          <w:p w14:paraId="12A48990">
            <w:pPr>
              <w:pStyle w:val="80"/>
              <w:jc w:val="center"/>
              <w:rPr>
                <w:rFonts w:hint="eastAsia" w:ascii="宋体" w:hAnsi="宋体" w:cs="宋体"/>
              </w:rPr>
            </w:pPr>
            <w:r>
              <w:rPr>
                <w:rFonts w:hint="eastAsia" w:ascii="宋体" w:hAnsi="宋体" w:cs="宋体"/>
              </w:rPr>
              <w:t>电池内阻测试仪</w:t>
            </w:r>
          </w:p>
        </w:tc>
        <w:tc>
          <w:tcPr>
            <w:tcW w:w="3571" w:type="pct"/>
            <w:vAlign w:val="center"/>
          </w:tcPr>
          <w:p w14:paraId="4D3E1FF8">
            <w:pPr>
              <w:pStyle w:val="80"/>
              <w:ind w:left="105" w:leftChars="50"/>
              <w:jc w:val="left"/>
              <w:rPr>
                <w:rFonts w:hint="eastAsia" w:ascii="宋体" w:hAnsi="宋体" w:cs="宋体"/>
              </w:rPr>
            </w:pPr>
            <w:r>
              <w:rPr>
                <w:rFonts w:hint="eastAsia" w:ascii="宋体" w:hAnsi="宋体" w:cs="宋体"/>
              </w:rPr>
              <w:t>测试参数 交流电阻、直流电压</w:t>
            </w:r>
            <w:r>
              <w:rPr>
                <w:rFonts w:hint="eastAsia" w:ascii="宋体" w:hAnsi="宋体" w:cs="宋体"/>
              </w:rPr>
              <w:br w:type="textWrapping"/>
            </w:r>
            <w:r>
              <w:rPr>
                <w:rFonts w:hint="eastAsia" w:ascii="宋体" w:hAnsi="宋体" w:cs="宋体"/>
              </w:rPr>
              <w:t>基本准确度 电阻：0.8%±5dgt（最高分辨率0.001mΩ）电压：0.05%±5dgt（最高分辨率0.1mV）</w:t>
            </w:r>
            <w:r>
              <w:rPr>
                <w:rFonts w:hint="eastAsia" w:ascii="宋体" w:hAnsi="宋体" w:cs="宋体"/>
              </w:rPr>
              <w:br w:type="textWrapping"/>
            </w:r>
            <w:r>
              <w:rPr>
                <w:rFonts w:hint="eastAsia" w:ascii="宋体" w:hAnsi="宋体" w:cs="宋体"/>
              </w:rPr>
              <w:t>测量范围 电阻：0.001mΩ~3.3000Ω 电压：0.0001V～60.000V</w:t>
            </w:r>
            <w:r>
              <w:rPr>
                <w:rFonts w:hint="eastAsia" w:ascii="宋体" w:hAnsi="宋体" w:cs="宋体"/>
              </w:rPr>
              <w:br w:type="textWrapping"/>
            </w:r>
            <w:r>
              <w:rPr>
                <w:rFonts w:hint="eastAsia" w:ascii="宋体" w:hAnsi="宋体" w:cs="宋体"/>
              </w:rPr>
              <w:t>信号源 交流：1kHz 开路电压：&lt;30mV（减少对被测电池伤害） 测试电流：&lt;15mA</w:t>
            </w:r>
            <w:r>
              <w:rPr>
                <w:rFonts w:hint="eastAsia" w:ascii="宋体" w:hAnsi="宋体" w:cs="宋体"/>
              </w:rPr>
              <w:br w:type="textWrapping"/>
            </w:r>
            <w:r>
              <w:rPr>
                <w:rFonts w:hint="eastAsia" w:ascii="宋体" w:hAnsi="宋体" w:cs="宋体"/>
              </w:rPr>
              <w:t>量程 四量程自动、手动和标称测试</w:t>
            </w:r>
            <w:r>
              <w:rPr>
                <w:rFonts w:hint="eastAsia" w:ascii="宋体" w:hAnsi="宋体" w:cs="宋体"/>
              </w:rPr>
              <w:br w:type="textWrapping"/>
            </w:r>
            <w:r>
              <w:rPr>
                <w:rFonts w:hint="eastAsia" w:ascii="宋体" w:hAnsi="宋体" w:cs="宋体"/>
              </w:rPr>
              <w:t>测试速度 1次/秒</w:t>
            </w:r>
            <w:r>
              <w:rPr>
                <w:rFonts w:hint="eastAsia" w:ascii="宋体" w:hAnsi="宋体" w:cs="宋体"/>
              </w:rPr>
              <w:br w:type="textWrapping"/>
            </w:r>
            <w:r>
              <w:rPr>
                <w:rFonts w:hint="eastAsia" w:ascii="宋体" w:hAnsi="宋体" w:cs="宋体"/>
              </w:rPr>
              <w:t>显示结果 绝对偏差（ABS）比较方式、相对偏差（PER）和顺序（SEQ）比较方式</w:t>
            </w:r>
            <w:r>
              <w:rPr>
                <w:rFonts w:hint="eastAsia" w:ascii="宋体" w:hAnsi="宋体" w:cs="宋体"/>
              </w:rPr>
              <w:br w:type="textWrapping"/>
            </w:r>
            <w:r>
              <w:rPr>
                <w:rFonts w:hint="eastAsia" w:ascii="宋体" w:hAnsi="宋体" w:cs="宋体"/>
              </w:rPr>
              <w:t>最大读数 电阻：3300数电压：6000数</w:t>
            </w:r>
            <w:r>
              <w:rPr>
                <w:rFonts w:hint="eastAsia" w:ascii="宋体" w:hAnsi="宋体" w:cs="宋体"/>
              </w:rPr>
              <w:br w:type="textWrapping"/>
            </w:r>
            <w:r>
              <w:rPr>
                <w:rFonts w:hint="eastAsia" w:ascii="宋体" w:hAnsi="宋体" w:cs="宋体"/>
              </w:rPr>
              <w:t>校正 全量程短路清零功能</w:t>
            </w:r>
            <w:r>
              <w:rPr>
                <w:rFonts w:hint="eastAsia" w:ascii="宋体" w:hAnsi="宋体" w:cs="宋体"/>
              </w:rPr>
              <w:br w:type="textWrapping"/>
            </w:r>
            <w:r>
              <w:rPr>
                <w:rFonts w:hint="eastAsia" w:ascii="宋体" w:hAnsi="宋体" w:cs="宋体"/>
              </w:rPr>
              <w:t>比较器 电压单独比较 电阻单独比较 电压电阻组合比较 GD/NG分选结果显示 讯响</w:t>
            </w:r>
            <w:r>
              <w:rPr>
                <w:rFonts w:hint="eastAsia" w:ascii="宋体" w:hAnsi="宋体" w:cs="宋体"/>
              </w:rPr>
              <w:br w:type="textWrapping"/>
            </w:r>
            <w:r>
              <w:rPr>
                <w:rFonts w:hint="eastAsia" w:ascii="宋体" w:hAnsi="宋体" w:cs="宋体"/>
              </w:rPr>
              <w:t>触发器 内部触发、手动触发、远程触发</w:t>
            </w:r>
            <w:r>
              <w:rPr>
                <w:rFonts w:hint="eastAsia" w:ascii="宋体" w:hAnsi="宋体" w:cs="宋体"/>
              </w:rPr>
              <w:br w:type="textWrapping"/>
            </w:r>
            <w:r>
              <w:rPr>
                <w:rFonts w:hint="eastAsia" w:ascii="宋体" w:hAnsi="宋体" w:cs="宋体"/>
              </w:rPr>
              <w:t>接口 内置Mini-USB接口（虚拟串口） 充电接口 U盘接口</w:t>
            </w:r>
            <w:r>
              <w:rPr>
                <w:rFonts w:hint="eastAsia" w:ascii="宋体" w:hAnsi="宋体" w:cs="宋体"/>
              </w:rPr>
              <w:br w:type="textWrapping"/>
            </w:r>
            <w:r>
              <w:rPr>
                <w:rFonts w:hint="eastAsia" w:ascii="宋体" w:hAnsi="宋体" w:cs="宋体"/>
              </w:rPr>
              <w:t>电源要求 输入：100-240V~50/60Hz 0.35A 输出：9V 1A DC ##8.4V 2200mAh锂电池</w:t>
            </w:r>
            <w:r>
              <w:rPr>
                <w:rFonts w:hint="eastAsia" w:ascii="宋体" w:hAnsi="宋体" w:cs="宋体"/>
              </w:rPr>
              <w:br w:type="textWrapping"/>
            </w:r>
            <w:r>
              <w:rPr>
                <w:rFonts w:hint="eastAsia" w:ascii="宋体" w:hAnsi="宋体" w:cs="宋体"/>
              </w:rPr>
              <w:t>尺寸与重量 外尺寸（mm）：（130-135）x（210-215)x（37-39 ) 重量：640g-650g</w:t>
            </w:r>
            <w:r>
              <w:rPr>
                <w:rFonts w:hint="eastAsia" w:ascii="宋体" w:hAnsi="宋体" w:cs="宋体"/>
              </w:rPr>
              <w:br w:type="textWrapping"/>
            </w:r>
            <w:r>
              <w:rPr>
                <w:rFonts w:hint="eastAsia" w:ascii="宋体" w:hAnsi="宋体" w:cs="宋体"/>
              </w:rPr>
              <w:t>附件 ATL501B四端开尔文测试夹 ATL909直流电源适配器 ATL202便携包 ATL804锂电池 ATL105Mini-USB通讯电缆 ﹡ATS528数据采集软件</w:t>
            </w:r>
            <w:r>
              <w:rPr>
                <w:rFonts w:hint="eastAsia" w:ascii="宋体" w:hAnsi="宋体" w:cs="宋体"/>
              </w:rPr>
              <w:br w:type="textWrapping"/>
            </w:r>
            <w:r>
              <w:rPr>
                <w:rFonts w:hint="eastAsia" w:ascii="宋体" w:hAnsi="宋体" w:cs="宋体"/>
              </w:rPr>
              <w:t>可选附件 18650夹具</w:t>
            </w:r>
            <w:r>
              <w:rPr>
                <w:rFonts w:hint="eastAsia" w:ascii="宋体" w:hAnsi="宋体" w:cs="宋体"/>
              </w:rPr>
              <w:br w:type="textWrapping"/>
            </w:r>
            <w:r>
              <w:rPr>
                <w:rFonts w:hint="eastAsia" w:ascii="宋体" w:hAnsi="宋体" w:cs="宋体"/>
              </w:rPr>
              <w:t>其他 3.5英吋真彩液晶显示；键盘锁、数据保持功能；兼容SCPI指令集；中、英文切换；背光灯调节；大容量锂电池实现超长待机，自动关机 ； 500组测量数据一键保存</w:t>
            </w:r>
          </w:p>
        </w:tc>
        <w:tc>
          <w:tcPr>
            <w:tcW w:w="357" w:type="pct"/>
            <w:vAlign w:val="center"/>
          </w:tcPr>
          <w:p w14:paraId="635D51F2">
            <w:pPr>
              <w:jc w:val="center"/>
              <w:rPr>
                <w:rFonts w:hint="eastAsia" w:ascii="宋体" w:hAnsi="宋体" w:cs="宋体"/>
                <w:szCs w:val="21"/>
              </w:rPr>
            </w:pPr>
            <w:r>
              <w:rPr>
                <w:rFonts w:hint="eastAsia" w:ascii="宋体" w:hAnsi="宋体" w:cs="宋体"/>
                <w:szCs w:val="21"/>
              </w:rPr>
              <w:t>3</w:t>
            </w:r>
          </w:p>
        </w:tc>
        <w:tc>
          <w:tcPr>
            <w:tcW w:w="341" w:type="pct"/>
            <w:vAlign w:val="center"/>
          </w:tcPr>
          <w:p w14:paraId="0E1D9D7D">
            <w:pPr>
              <w:jc w:val="center"/>
              <w:rPr>
                <w:rFonts w:hint="eastAsia" w:ascii="宋体" w:hAnsi="宋体" w:cs="宋体"/>
                <w:szCs w:val="21"/>
              </w:rPr>
            </w:pPr>
            <w:r>
              <w:rPr>
                <w:rFonts w:hint="eastAsia" w:ascii="宋体" w:hAnsi="宋体" w:cs="宋体"/>
                <w:szCs w:val="21"/>
              </w:rPr>
              <w:t>套</w:t>
            </w:r>
          </w:p>
        </w:tc>
      </w:tr>
      <w:tr w14:paraId="36FCFD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trHeight w:val="695" w:hRule="atLeast"/>
        </w:trPr>
        <w:tc>
          <w:tcPr>
            <w:tcW w:w="193" w:type="pct"/>
            <w:vAlign w:val="center"/>
          </w:tcPr>
          <w:p w14:paraId="36396413">
            <w:pPr>
              <w:jc w:val="center"/>
              <w:rPr>
                <w:rFonts w:hint="eastAsia" w:ascii="宋体" w:hAnsi="宋体" w:cs="宋体"/>
                <w:b/>
                <w:bCs/>
                <w:szCs w:val="21"/>
              </w:rPr>
            </w:pPr>
            <w:r>
              <w:rPr>
                <w:rFonts w:hint="eastAsia" w:ascii="宋体" w:hAnsi="宋体" w:cs="宋体"/>
                <w:szCs w:val="21"/>
              </w:rPr>
              <w:t>42</w:t>
            </w:r>
          </w:p>
        </w:tc>
        <w:tc>
          <w:tcPr>
            <w:tcW w:w="536" w:type="pct"/>
            <w:vAlign w:val="center"/>
          </w:tcPr>
          <w:p w14:paraId="52C10C0F">
            <w:pPr>
              <w:pStyle w:val="80"/>
              <w:jc w:val="center"/>
              <w:rPr>
                <w:rFonts w:hint="eastAsia" w:ascii="宋体" w:hAnsi="宋体" w:cs="宋体"/>
              </w:rPr>
            </w:pPr>
            <w:r>
              <w:rPr>
                <w:rFonts w:hint="eastAsia" w:ascii="宋体" w:hAnsi="宋体" w:cs="宋体"/>
              </w:rPr>
              <w:t>数字万用表</w:t>
            </w:r>
          </w:p>
        </w:tc>
        <w:tc>
          <w:tcPr>
            <w:tcW w:w="3571" w:type="pct"/>
            <w:vAlign w:val="center"/>
          </w:tcPr>
          <w:p w14:paraId="52F88F83">
            <w:pPr>
              <w:pStyle w:val="80"/>
              <w:ind w:left="105" w:leftChars="50"/>
              <w:jc w:val="left"/>
              <w:rPr>
                <w:rFonts w:hint="eastAsia" w:ascii="宋体" w:hAnsi="宋体" w:cs="宋体"/>
              </w:rPr>
            </w:pPr>
            <w:r>
              <w:rPr>
                <w:rFonts w:hint="eastAsia" w:ascii="宋体" w:hAnsi="宋体" w:cs="宋体"/>
              </w:rPr>
              <w:t>万用表：</w:t>
            </w:r>
            <w:r>
              <w:rPr>
                <w:rFonts w:hint="eastAsia" w:ascii="宋体" w:hAnsi="宋体" w:cs="宋体"/>
              </w:rPr>
              <w:br w:type="textWrapping"/>
            </w:r>
            <w:r>
              <w:rPr>
                <w:rFonts w:hint="eastAsia" w:ascii="宋体" w:hAnsi="宋体" w:cs="宋体"/>
              </w:rPr>
              <w:t>①NCV非接触交流验电,分4段电压信号强弱感应和频率感应功能，VFC变频功能,能减少高频信号对测量结果的影响，内置手电筒应对夜间或阴暗环境作业。</w:t>
            </w:r>
            <w:r>
              <w:rPr>
                <w:rFonts w:hint="eastAsia" w:ascii="宋体" w:hAnsi="宋体" w:cs="宋体"/>
              </w:rPr>
              <w:br w:type="textWrapping"/>
            </w:r>
            <w:r>
              <w:rPr>
                <w:rFonts w:hint="eastAsia" w:ascii="宋体" w:hAnsi="宋体" w:cs="宋体"/>
              </w:rPr>
              <w:t>②可测试直流电压（DC1000V）、交流电压（AC750V）、电阻、电容、频率、直流电流、交流电流、二极管测试、通断报警、低压显示、单位符号显示、数据保持、自动关机、过载保护、输入阻抗、采样频率、交流频响、操作方式、显示计数、钳口张开、电源等功能。</w:t>
            </w:r>
          </w:p>
        </w:tc>
        <w:tc>
          <w:tcPr>
            <w:tcW w:w="357" w:type="pct"/>
            <w:vAlign w:val="center"/>
          </w:tcPr>
          <w:p w14:paraId="24A67C4B">
            <w:pPr>
              <w:jc w:val="center"/>
              <w:rPr>
                <w:rFonts w:hint="eastAsia" w:ascii="宋体" w:hAnsi="宋体" w:cs="宋体"/>
                <w:szCs w:val="21"/>
              </w:rPr>
            </w:pPr>
            <w:r>
              <w:rPr>
                <w:rFonts w:hint="eastAsia" w:ascii="宋体" w:hAnsi="宋体" w:cs="宋体"/>
                <w:szCs w:val="21"/>
              </w:rPr>
              <w:t>3</w:t>
            </w:r>
          </w:p>
        </w:tc>
        <w:tc>
          <w:tcPr>
            <w:tcW w:w="341" w:type="pct"/>
            <w:vAlign w:val="center"/>
          </w:tcPr>
          <w:p w14:paraId="21FB0BB6">
            <w:pPr>
              <w:jc w:val="center"/>
              <w:rPr>
                <w:rFonts w:hint="eastAsia" w:ascii="宋体" w:hAnsi="宋体" w:cs="宋体"/>
                <w:szCs w:val="21"/>
              </w:rPr>
            </w:pPr>
            <w:r>
              <w:rPr>
                <w:rFonts w:hint="eastAsia" w:ascii="宋体" w:hAnsi="宋体" w:cs="宋体"/>
                <w:szCs w:val="21"/>
              </w:rPr>
              <w:t>套</w:t>
            </w:r>
          </w:p>
        </w:tc>
      </w:tr>
      <w:tr w14:paraId="394318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trHeight w:val="695" w:hRule="atLeast"/>
        </w:trPr>
        <w:tc>
          <w:tcPr>
            <w:tcW w:w="193" w:type="pct"/>
            <w:vAlign w:val="center"/>
          </w:tcPr>
          <w:p w14:paraId="22834943">
            <w:pPr>
              <w:jc w:val="center"/>
              <w:rPr>
                <w:rFonts w:hint="eastAsia" w:ascii="宋体" w:hAnsi="宋体" w:cs="宋体"/>
                <w:b/>
                <w:bCs/>
                <w:szCs w:val="21"/>
              </w:rPr>
            </w:pPr>
            <w:r>
              <w:rPr>
                <w:rFonts w:hint="eastAsia" w:ascii="宋体" w:hAnsi="宋体" w:cs="宋体"/>
                <w:szCs w:val="21"/>
              </w:rPr>
              <w:t>43</w:t>
            </w:r>
          </w:p>
        </w:tc>
        <w:tc>
          <w:tcPr>
            <w:tcW w:w="536" w:type="pct"/>
            <w:vAlign w:val="center"/>
          </w:tcPr>
          <w:p w14:paraId="219E5BC5">
            <w:pPr>
              <w:pStyle w:val="80"/>
              <w:jc w:val="center"/>
              <w:rPr>
                <w:rFonts w:hint="eastAsia" w:ascii="宋体" w:hAnsi="宋体" w:cs="宋体"/>
              </w:rPr>
            </w:pPr>
            <w:r>
              <w:rPr>
                <w:rFonts w:hint="eastAsia" w:ascii="宋体" w:hAnsi="宋体" w:cs="宋体"/>
              </w:rPr>
              <w:t>手持示波器</w:t>
            </w:r>
          </w:p>
        </w:tc>
        <w:tc>
          <w:tcPr>
            <w:tcW w:w="3571" w:type="pct"/>
            <w:vAlign w:val="center"/>
          </w:tcPr>
          <w:p w14:paraId="53335288">
            <w:pPr>
              <w:pStyle w:val="80"/>
              <w:ind w:left="105" w:leftChars="50"/>
              <w:jc w:val="left"/>
              <w:rPr>
                <w:rFonts w:hint="eastAsia" w:ascii="宋体" w:hAnsi="宋体" w:cs="宋体"/>
              </w:rPr>
            </w:pPr>
            <w:r>
              <w:rPr>
                <w:rFonts w:hint="eastAsia" w:ascii="宋体" w:hAnsi="宋体" w:cs="宋体"/>
              </w:rPr>
              <w:t>手持示波器：</w:t>
            </w:r>
            <w:r>
              <w:rPr>
                <w:rFonts w:hint="eastAsia" w:ascii="宋体" w:hAnsi="宋体" w:cs="宋体"/>
              </w:rPr>
              <w:br w:type="textWrapping"/>
            </w:r>
            <w:r>
              <w:rPr>
                <w:rFonts w:hint="eastAsia" w:ascii="宋体" w:hAnsi="宋体" w:cs="宋体"/>
              </w:rPr>
              <w:t>①双输入数字示波器和万用表。</w:t>
            </w:r>
            <w:r>
              <w:rPr>
                <w:rFonts w:hint="eastAsia" w:ascii="宋体" w:hAnsi="宋体" w:cs="宋体"/>
              </w:rPr>
              <w:br w:type="textWrapping"/>
            </w:r>
            <w:r>
              <w:rPr>
                <w:rFonts w:hint="eastAsia" w:ascii="宋体" w:hAnsi="宋体" w:cs="宋体"/>
              </w:rPr>
              <w:t>②实时采样率1GSa/s，带宽100MHz，存储深度每通2Mpts，垂直灵敏度5ns/div-50s/div。</w:t>
            </w:r>
            <w:r>
              <w:rPr>
                <w:rFonts w:hint="eastAsia" w:ascii="宋体" w:hAnsi="宋体" w:cs="宋体"/>
              </w:rPr>
              <w:br w:type="textWrapping"/>
            </w:r>
            <w:r>
              <w:rPr>
                <w:rFonts w:hint="eastAsia" w:ascii="宋体" w:hAnsi="宋体" w:cs="宋体"/>
              </w:rPr>
              <w:t>③触发类型包括脉宽、视频、边沿、交替等。</w:t>
            </w:r>
            <w:r>
              <w:rPr>
                <w:rFonts w:hint="eastAsia" w:ascii="宋体" w:hAnsi="宋体" w:cs="宋体"/>
              </w:rPr>
              <w:br w:type="textWrapping"/>
            </w:r>
            <w:r>
              <w:rPr>
                <w:rFonts w:hint="eastAsia" w:ascii="宋体" w:hAnsi="宋体" w:cs="宋体"/>
              </w:rPr>
              <w:t>④具有精细的视窗扩展功能、屏幕拷贝功能、U盘升级功能。</w:t>
            </w:r>
            <w:r>
              <w:rPr>
                <w:rFonts w:hint="eastAsia" w:ascii="宋体" w:hAnsi="宋体" w:cs="宋体"/>
              </w:rPr>
              <w:br w:type="textWrapping"/>
            </w:r>
            <w:r>
              <w:rPr>
                <w:rFonts w:hint="eastAsia" w:ascii="宋体" w:hAnsi="宋体" w:cs="宋体"/>
              </w:rPr>
              <w:t>⑤5000mAh锂电池供电，持续工作时间不低于5个小时。</w:t>
            </w:r>
          </w:p>
        </w:tc>
        <w:tc>
          <w:tcPr>
            <w:tcW w:w="357" w:type="pct"/>
            <w:vAlign w:val="center"/>
          </w:tcPr>
          <w:p w14:paraId="72F20D8F">
            <w:pPr>
              <w:jc w:val="center"/>
              <w:rPr>
                <w:rFonts w:hint="eastAsia" w:ascii="宋体" w:hAnsi="宋体" w:cs="宋体"/>
                <w:szCs w:val="21"/>
              </w:rPr>
            </w:pPr>
            <w:r>
              <w:rPr>
                <w:rFonts w:hint="eastAsia" w:ascii="宋体" w:hAnsi="宋体" w:cs="宋体"/>
                <w:szCs w:val="21"/>
              </w:rPr>
              <w:t>4</w:t>
            </w:r>
          </w:p>
        </w:tc>
        <w:tc>
          <w:tcPr>
            <w:tcW w:w="341" w:type="pct"/>
            <w:vAlign w:val="center"/>
          </w:tcPr>
          <w:p w14:paraId="4AFF2534">
            <w:pPr>
              <w:jc w:val="center"/>
              <w:rPr>
                <w:rFonts w:hint="eastAsia" w:ascii="宋体" w:hAnsi="宋体" w:cs="宋体"/>
                <w:szCs w:val="21"/>
              </w:rPr>
            </w:pPr>
            <w:r>
              <w:rPr>
                <w:rFonts w:hint="eastAsia" w:ascii="宋体" w:hAnsi="宋体" w:cs="宋体"/>
                <w:szCs w:val="21"/>
              </w:rPr>
              <w:t>台</w:t>
            </w:r>
          </w:p>
        </w:tc>
      </w:tr>
      <w:tr w14:paraId="567BA7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trHeight w:val="695" w:hRule="atLeast"/>
        </w:trPr>
        <w:tc>
          <w:tcPr>
            <w:tcW w:w="193" w:type="pct"/>
            <w:tcBorders>
              <w:bottom w:val="single" w:color="auto" w:sz="4" w:space="0"/>
            </w:tcBorders>
            <w:vAlign w:val="center"/>
          </w:tcPr>
          <w:p w14:paraId="5E073435">
            <w:pPr>
              <w:jc w:val="center"/>
              <w:rPr>
                <w:rFonts w:hint="eastAsia" w:ascii="宋体" w:hAnsi="宋体" w:cs="宋体"/>
                <w:b/>
                <w:bCs/>
                <w:szCs w:val="21"/>
              </w:rPr>
            </w:pPr>
            <w:r>
              <w:rPr>
                <w:rFonts w:hint="eastAsia" w:ascii="宋体" w:hAnsi="宋体" w:cs="宋体"/>
                <w:szCs w:val="21"/>
              </w:rPr>
              <w:t>44</w:t>
            </w:r>
          </w:p>
        </w:tc>
        <w:tc>
          <w:tcPr>
            <w:tcW w:w="536" w:type="pct"/>
            <w:tcBorders>
              <w:bottom w:val="single" w:color="auto" w:sz="4" w:space="0"/>
            </w:tcBorders>
            <w:vAlign w:val="center"/>
          </w:tcPr>
          <w:p w14:paraId="556ABBFB">
            <w:pPr>
              <w:pStyle w:val="80"/>
              <w:jc w:val="center"/>
              <w:rPr>
                <w:rFonts w:hint="eastAsia" w:ascii="宋体" w:hAnsi="宋体" w:cs="宋体"/>
              </w:rPr>
            </w:pPr>
            <w:r>
              <w:rPr>
                <w:rFonts w:hint="eastAsia" w:ascii="宋体" w:hAnsi="宋体" w:cs="宋体"/>
              </w:rPr>
              <w:t>125件 新能源（绝缘）工具组合方案</w:t>
            </w:r>
          </w:p>
        </w:tc>
        <w:tc>
          <w:tcPr>
            <w:tcW w:w="3571" w:type="pct"/>
            <w:tcBorders>
              <w:bottom w:val="single" w:color="auto" w:sz="4" w:space="0"/>
            </w:tcBorders>
            <w:vAlign w:val="center"/>
          </w:tcPr>
          <w:p w14:paraId="7ABA6725">
            <w:pPr>
              <w:pStyle w:val="80"/>
              <w:ind w:left="105" w:leftChars="50"/>
              <w:jc w:val="left"/>
              <w:rPr>
                <w:rFonts w:hint="eastAsia" w:ascii="宋体" w:hAnsi="宋体" w:cs="宋体"/>
              </w:rPr>
            </w:pPr>
            <w:r>
              <w:rPr>
                <w:rFonts w:hint="eastAsia" w:ascii="宋体" w:hAnsi="宋体" w:cs="宋体"/>
              </w:rPr>
              <w:t>120件新能源车绝缘工具维修组套及50件绝缘可换头螺丝批组套，双色柄绝缘开口扳手不同规格11件，双色柄绝缘梅花扳手不同规格13件，黑色电工绝缘胶带1个，双色柄绝缘开口扳手2个，双色柄绝缘活络扳手1个，绝缘水泵钳、绝缘尖嘴钳、绝缘斜嘴钳、绝缘剥线钳、绝缘钢丝钳各1个，绝缘螺丝批不同规格6件，双色直刃式绝缘电工刀个，1/2"绝缘六角套筒不同规格17件，1/2"绝缘六角旋具套筒不同规格5件，3/8"绝缘延长杆不同规格2件，1/2"绝缘延长杆不同规格2件，3/8"双色柄绝缘双向棘轮扳手、1/2"双色柄绝缘双向棘轮扳手、1/"绝缘T型套筒扳手各1个。</w:t>
            </w:r>
          </w:p>
        </w:tc>
        <w:tc>
          <w:tcPr>
            <w:tcW w:w="357" w:type="pct"/>
            <w:tcBorders>
              <w:bottom w:val="single" w:color="auto" w:sz="4" w:space="0"/>
            </w:tcBorders>
            <w:vAlign w:val="center"/>
          </w:tcPr>
          <w:p w14:paraId="5C13E3E9">
            <w:pPr>
              <w:jc w:val="center"/>
              <w:rPr>
                <w:rFonts w:hint="eastAsia" w:ascii="宋体" w:hAnsi="宋体" w:cs="宋体"/>
                <w:szCs w:val="21"/>
              </w:rPr>
            </w:pPr>
            <w:r>
              <w:rPr>
                <w:rFonts w:hint="eastAsia" w:ascii="宋体" w:hAnsi="宋体" w:cs="宋体"/>
                <w:szCs w:val="21"/>
              </w:rPr>
              <w:t>4</w:t>
            </w:r>
          </w:p>
        </w:tc>
        <w:tc>
          <w:tcPr>
            <w:tcW w:w="341" w:type="pct"/>
            <w:tcBorders>
              <w:bottom w:val="single" w:color="auto" w:sz="4" w:space="0"/>
            </w:tcBorders>
            <w:vAlign w:val="center"/>
          </w:tcPr>
          <w:p w14:paraId="021B4A06">
            <w:pPr>
              <w:jc w:val="center"/>
              <w:rPr>
                <w:rFonts w:hint="eastAsia" w:ascii="宋体" w:hAnsi="宋体" w:cs="宋体"/>
                <w:szCs w:val="21"/>
              </w:rPr>
            </w:pPr>
          </w:p>
          <w:p w14:paraId="6BF37CA1">
            <w:pPr>
              <w:jc w:val="center"/>
              <w:rPr>
                <w:rFonts w:hint="eastAsia" w:ascii="宋体" w:hAnsi="宋体" w:cs="宋体"/>
                <w:szCs w:val="21"/>
              </w:rPr>
            </w:pPr>
          </w:p>
          <w:p w14:paraId="77010C05">
            <w:pPr>
              <w:jc w:val="center"/>
              <w:rPr>
                <w:rFonts w:hint="eastAsia" w:ascii="宋体" w:hAnsi="宋体" w:cs="宋体"/>
                <w:szCs w:val="21"/>
              </w:rPr>
            </w:pPr>
            <w:r>
              <w:rPr>
                <w:rFonts w:hint="eastAsia" w:ascii="宋体" w:hAnsi="宋体" w:cs="宋体"/>
                <w:szCs w:val="21"/>
              </w:rPr>
              <w:t>套</w:t>
            </w:r>
          </w:p>
          <w:p w14:paraId="7E37235C">
            <w:pPr>
              <w:jc w:val="center"/>
              <w:rPr>
                <w:rFonts w:hint="eastAsia" w:ascii="宋体" w:hAnsi="宋体" w:cs="宋体"/>
                <w:szCs w:val="21"/>
              </w:rPr>
            </w:pPr>
          </w:p>
          <w:p w14:paraId="245470E4">
            <w:pPr>
              <w:jc w:val="center"/>
              <w:rPr>
                <w:rFonts w:hint="eastAsia" w:ascii="宋体" w:hAnsi="宋体" w:cs="宋体"/>
                <w:szCs w:val="21"/>
              </w:rPr>
            </w:pPr>
          </w:p>
        </w:tc>
      </w:tr>
    </w:tbl>
    <w:p w14:paraId="659FE257">
      <w:pPr>
        <w:pStyle w:val="2"/>
        <w:rPr>
          <w:sz w:val="32"/>
          <w:szCs w:val="32"/>
          <w:lang w:val="zh-CN"/>
        </w:rPr>
      </w:pPr>
      <w:bookmarkStart w:id="27" w:name="_Toc16637"/>
      <w:r>
        <w:rPr>
          <w:rFonts w:hint="eastAsia"/>
          <w:sz w:val="32"/>
          <w:szCs w:val="32"/>
          <w:lang w:val="zh-CN"/>
        </w:rPr>
        <w:t>第</w:t>
      </w:r>
      <w:r>
        <w:rPr>
          <w:rFonts w:hint="eastAsia"/>
          <w:sz w:val="32"/>
          <w:szCs w:val="32"/>
        </w:rPr>
        <w:t>六</w:t>
      </w:r>
      <w:r>
        <w:rPr>
          <w:rFonts w:hint="eastAsia"/>
          <w:sz w:val="32"/>
          <w:szCs w:val="32"/>
          <w:lang w:val="zh-CN"/>
        </w:rPr>
        <w:t>章  投标文件构成、要求及格式</w:t>
      </w:r>
      <w:bookmarkEnd w:id="26"/>
      <w:bookmarkEnd w:id="27"/>
    </w:p>
    <w:p w14:paraId="41BB0F0E">
      <w:pPr>
        <w:autoSpaceDE w:val="0"/>
        <w:autoSpaceDN w:val="0"/>
        <w:adjustRightInd w:val="0"/>
        <w:spacing w:line="360" w:lineRule="auto"/>
        <w:rPr>
          <w:rFonts w:hint="eastAsia" w:ascii="宋体" w:hAnsi="宋体" w:cs="宋体"/>
          <w:bCs/>
          <w:color w:val="000000"/>
          <w:sz w:val="24"/>
          <w:szCs w:val="24"/>
          <w:lang w:val="zh-CN"/>
        </w:rPr>
      </w:pPr>
      <w:r>
        <w:rPr>
          <w:rFonts w:hint="eastAsia" w:ascii="宋体" w:hAnsi="宋体" w:cs="宋体"/>
          <w:bCs/>
          <w:color w:val="000000"/>
          <w:sz w:val="24"/>
          <w:szCs w:val="24"/>
          <w:lang w:val="zh-CN"/>
        </w:rPr>
        <w:t>特别声明:</w:t>
      </w:r>
    </w:p>
    <w:p w14:paraId="403D51B2">
      <w:pPr>
        <w:tabs>
          <w:tab w:val="left" w:pos="709"/>
        </w:tabs>
        <w:autoSpaceDE w:val="0"/>
        <w:autoSpaceDN w:val="0"/>
        <w:adjustRightInd w:val="0"/>
        <w:spacing w:line="360" w:lineRule="auto"/>
        <w:ind w:firstLine="482"/>
        <w:rPr>
          <w:rFonts w:hint="eastAsia" w:ascii="宋体" w:hAnsi="宋体" w:cs="宋体"/>
          <w:bCs/>
          <w:color w:val="000000"/>
          <w:sz w:val="24"/>
          <w:szCs w:val="24"/>
          <w:lang w:val="zh-CN"/>
        </w:rPr>
      </w:pPr>
      <w:r>
        <w:rPr>
          <w:rFonts w:hint="eastAsia" w:ascii="宋体" w:hAnsi="宋体" w:cs="宋体"/>
          <w:bCs/>
          <w:color w:val="000000"/>
          <w:sz w:val="24"/>
          <w:szCs w:val="24"/>
          <w:lang w:val="zh-CN"/>
        </w:rPr>
        <w:t>1、投标人必须按照招标文件的规定提交所要求提交的投标文件，若有缺失、无效或者不符合招标文件要求，将导致其投标被拒绝。</w:t>
      </w:r>
    </w:p>
    <w:p w14:paraId="0B73E9B1">
      <w:pPr>
        <w:autoSpaceDE w:val="0"/>
        <w:autoSpaceDN w:val="0"/>
        <w:adjustRightInd w:val="0"/>
        <w:spacing w:line="360" w:lineRule="auto"/>
        <w:ind w:firstLine="482"/>
        <w:rPr>
          <w:rFonts w:hint="eastAsia" w:ascii="宋体" w:hAnsi="宋体" w:cs="宋体"/>
          <w:bCs/>
          <w:color w:val="000000"/>
          <w:sz w:val="24"/>
          <w:szCs w:val="24"/>
          <w:lang w:val="zh-CN"/>
        </w:rPr>
      </w:pPr>
      <w:r>
        <w:rPr>
          <w:rFonts w:hint="eastAsia" w:ascii="宋体" w:hAnsi="宋体" w:cs="宋体"/>
          <w:bCs/>
          <w:color w:val="000000"/>
          <w:sz w:val="24"/>
          <w:szCs w:val="24"/>
        </w:rPr>
        <w:t>2</w:t>
      </w:r>
      <w:r>
        <w:rPr>
          <w:rFonts w:hint="eastAsia" w:ascii="宋体" w:hAnsi="宋体" w:cs="宋体"/>
          <w:bCs/>
          <w:color w:val="000000"/>
          <w:sz w:val="24"/>
          <w:szCs w:val="24"/>
          <w:lang w:val="zh-CN"/>
        </w:rPr>
        <w:t>、如果要求提交的资格证明文件需要进行年检，但在投标时因当地有关管理部门尚未开展年检工作，使投标人不能提交经年检的资格文件，投标人应提交当地相关管理机关出具的有效证明文件。</w:t>
      </w:r>
    </w:p>
    <w:p w14:paraId="78D8DE79">
      <w:pPr>
        <w:autoSpaceDE w:val="0"/>
        <w:autoSpaceDN w:val="0"/>
        <w:adjustRightInd w:val="0"/>
        <w:spacing w:line="360" w:lineRule="auto"/>
        <w:ind w:firstLine="480"/>
        <w:rPr>
          <w:rFonts w:hint="eastAsia" w:ascii="宋体" w:hAnsi="宋体" w:cs="宋体"/>
          <w:bCs/>
          <w:color w:val="000000"/>
          <w:sz w:val="24"/>
          <w:szCs w:val="24"/>
          <w:lang w:val="zh-CN"/>
        </w:rPr>
      </w:pPr>
      <w:r>
        <w:rPr>
          <w:rFonts w:hint="eastAsia" w:ascii="宋体" w:hAnsi="宋体" w:cs="宋体"/>
          <w:bCs/>
          <w:color w:val="000000"/>
          <w:sz w:val="24"/>
          <w:szCs w:val="24"/>
        </w:rPr>
        <w:t>3</w:t>
      </w:r>
      <w:r>
        <w:rPr>
          <w:rFonts w:hint="eastAsia" w:ascii="宋体" w:hAnsi="宋体" w:cs="宋体"/>
          <w:bCs/>
          <w:color w:val="000000"/>
          <w:sz w:val="24"/>
          <w:szCs w:val="24"/>
          <w:lang w:val="zh-CN"/>
        </w:rPr>
        <w:t>、如果投标人受地域限制不能提供招标文件要求的有关文件的原件，应提供当地公证机关出具的公证书。</w:t>
      </w:r>
    </w:p>
    <w:p w14:paraId="32DBCA7C">
      <w:pPr>
        <w:tabs>
          <w:tab w:val="left" w:pos="709"/>
        </w:tabs>
        <w:autoSpaceDE w:val="0"/>
        <w:autoSpaceDN w:val="0"/>
        <w:adjustRightInd w:val="0"/>
        <w:spacing w:line="360" w:lineRule="auto"/>
        <w:ind w:firstLine="480" w:firstLineChars="200"/>
        <w:rPr>
          <w:rFonts w:hint="eastAsia" w:ascii="宋体" w:hAnsi="宋体" w:cs="宋体"/>
          <w:bCs/>
          <w:color w:val="000000"/>
          <w:sz w:val="24"/>
          <w:szCs w:val="24"/>
          <w:lang w:val="zh-CN"/>
        </w:rPr>
      </w:pPr>
      <w:r>
        <w:rPr>
          <w:rFonts w:hint="eastAsia" w:ascii="宋体" w:hAnsi="宋体" w:cs="宋体"/>
          <w:bCs/>
          <w:color w:val="000000"/>
          <w:sz w:val="24"/>
          <w:szCs w:val="24"/>
        </w:rPr>
        <w:t>4</w:t>
      </w:r>
      <w:r>
        <w:rPr>
          <w:rFonts w:hint="eastAsia" w:ascii="宋体" w:hAnsi="宋体" w:cs="宋体"/>
          <w:bCs/>
          <w:color w:val="000000"/>
          <w:sz w:val="24"/>
          <w:szCs w:val="24"/>
          <w:lang w:val="zh-CN"/>
        </w:rPr>
        <w:t>、投标人提交的全部文件均须按招标文件的规定有效签署和加盖公章。</w:t>
      </w:r>
    </w:p>
    <w:p w14:paraId="34F3BAB5">
      <w:pPr>
        <w:tabs>
          <w:tab w:val="left" w:pos="709"/>
        </w:tabs>
        <w:autoSpaceDE w:val="0"/>
        <w:autoSpaceDN w:val="0"/>
        <w:adjustRightInd w:val="0"/>
        <w:spacing w:line="360" w:lineRule="auto"/>
        <w:ind w:firstLine="482" w:firstLineChars="200"/>
        <w:rPr>
          <w:rFonts w:hint="eastAsia" w:ascii="宋体" w:hAnsi="宋体" w:cs="宋体"/>
          <w:bCs/>
          <w:color w:val="000000"/>
          <w:sz w:val="24"/>
          <w:szCs w:val="24"/>
          <w:lang w:val="zh-CN"/>
        </w:rPr>
      </w:pPr>
      <w:r>
        <w:rPr>
          <w:rFonts w:hint="eastAsia" w:ascii="宋体" w:hAnsi="宋体" w:cs="宋体"/>
          <w:b/>
          <w:bCs/>
          <w:color w:val="000000"/>
          <w:sz w:val="24"/>
          <w:szCs w:val="24"/>
        </w:rPr>
        <w:t>5</w:t>
      </w:r>
      <w:r>
        <w:rPr>
          <w:rFonts w:hint="eastAsia" w:ascii="宋体" w:hAnsi="宋体" w:cs="宋体"/>
          <w:b/>
          <w:bCs/>
          <w:color w:val="000000"/>
          <w:sz w:val="24"/>
          <w:szCs w:val="24"/>
          <w:lang w:val="zh-CN"/>
        </w:rPr>
        <w:t>、投标人应编制投标文件目录。</w:t>
      </w:r>
      <w:r>
        <w:rPr>
          <w:rFonts w:hint="eastAsia" w:ascii="宋体" w:hAnsi="宋体" w:cs="宋体"/>
          <w:bCs/>
          <w:color w:val="000000"/>
          <w:sz w:val="24"/>
          <w:szCs w:val="24"/>
          <w:lang w:val="zh-CN"/>
        </w:rPr>
        <w:t>按照《投标文件构成、要求及格式》所要求提交的资格审查文件部分、商务</w:t>
      </w:r>
      <w:r>
        <w:rPr>
          <w:rFonts w:hint="eastAsia" w:ascii="宋体" w:hAnsi="宋体" w:cs="宋体"/>
          <w:bCs/>
          <w:color w:val="000000"/>
          <w:sz w:val="24"/>
          <w:szCs w:val="24"/>
        </w:rPr>
        <w:t>和</w:t>
      </w:r>
      <w:r>
        <w:rPr>
          <w:rFonts w:hint="eastAsia" w:ascii="宋体" w:hAnsi="宋体" w:cs="宋体"/>
          <w:bCs/>
          <w:color w:val="000000"/>
          <w:sz w:val="24"/>
          <w:szCs w:val="24"/>
          <w:lang w:val="zh-CN"/>
        </w:rPr>
        <w:t>技术部分、作为评分依据的其他文件材料的具体排列顺序相对应地编制投标文件目录。</w:t>
      </w:r>
    </w:p>
    <w:p w14:paraId="054E8C6C">
      <w:pPr>
        <w:autoSpaceDE w:val="0"/>
        <w:autoSpaceDN w:val="0"/>
        <w:adjustRightInd w:val="0"/>
        <w:jc w:val="center"/>
        <w:rPr>
          <w:rFonts w:hint="eastAsia" w:ascii="宋体" w:hAnsi="宋体" w:cs="宋体"/>
          <w:bCs/>
          <w:color w:val="000000"/>
          <w:szCs w:val="21"/>
          <w:lang w:val="zh-CN"/>
        </w:rPr>
      </w:pPr>
    </w:p>
    <w:p w14:paraId="316DB678">
      <w:pPr>
        <w:autoSpaceDE w:val="0"/>
        <w:autoSpaceDN w:val="0"/>
        <w:adjustRightInd w:val="0"/>
        <w:jc w:val="center"/>
        <w:rPr>
          <w:rFonts w:hint="eastAsia" w:ascii="宋体" w:hAnsi="宋体" w:cs="宋体"/>
          <w:bCs/>
          <w:color w:val="000000"/>
          <w:szCs w:val="21"/>
          <w:lang w:val="zh-CN"/>
        </w:rPr>
      </w:pPr>
    </w:p>
    <w:p w14:paraId="58FDEC04">
      <w:pPr>
        <w:autoSpaceDE w:val="0"/>
        <w:autoSpaceDN w:val="0"/>
        <w:adjustRightInd w:val="0"/>
        <w:jc w:val="center"/>
        <w:rPr>
          <w:rFonts w:hint="eastAsia" w:ascii="宋体" w:hAnsi="宋体" w:cs="宋体"/>
          <w:bCs/>
          <w:color w:val="000000"/>
          <w:szCs w:val="21"/>
          <w:lang w:val="zh-CN"/>
        </w:rPr>
      </w:pPr>
    </w:p>
    <w:p w14:paraId="205427CD">
      <w:pPr>
        <w:autoSpaceDE w:val="0"/>
        <w:autoSpaceDN w:val="0"/>
        <w:adjustRightInd w:val="0"/>
        <w:jc w:val="center"/>
        <w:rPr>
          <w:rFonts w:hint="eastAsia" w:ascii="宋体" w:hAnsi="宋体" w:cs="宋体"/>
          <w:bCs/>
          <w:color w:val="000000"/>
          <w:szCs w:val="21"/>
          <w:lang w:val="zh-CN"/>
        </w:rPr>
      </w:pPr>
    </w:p>
    <w:p w14:paraId="5787AED9">
      <w:pPr>
        <w:autoSpaceDE w:val="0"/>
        <w:autoSpaceDN w:val="0"/>
        <w:adjustRightInd w:val="0"/>
        <w:jc w:val="center"/>
        <w:rPr>
          <w:rFonts w:hint="eastAsia" w:ascii="宋体" w:hAnsi="宋体" w:cs="宋体"/>
          <w:bCs/>
          <w:color w:val="000000"/>
          <w:szCs w:val="21"/>
          <w:lang w:val="zh-CN"/>
        </w:rPr>
      </w:pPr>
    </w:p>
    <w:p w14:paraId="0B4BB0B3">
      <w:pPr>
        <w:autoSpaceDE w:val="0"/>
        <w:autoSpaceDN w:val="0"/>
        <w:adjustRightInd w:val="0"/>
        <w:jc w:val="center"/>
        <w:rPr>
          <w:rFonts w:hint="eastAsia" w:ascii="宋体" w:hAnsi="宋体" w:cs="宋体"/>
          <w:bCs/>
          <w:color w:val="000000"/>
          <w:szCs w:val="21"/>
          <w:lang w:val="zh-CN"/>
        </w:rPr>
      </w:pPr>
    </w:p>
    <w:p w14:paraId="71C66BC9">
      <w:pPr>
        <w:autoSpaceDE w:val="0"/>
        <w:autoSpaceDN w:val="0"/>
        <w:adjustRightInd w:val="0"/>
        <w:jc w:val="center"/>
        <w:rPr>
          <w:rFonts w:hint="eastAsia" w:ascii="宋体" w:hAnsi="宋体" w:cs="宋体"/>
          <w:bCs/>
          <w:color w:val="000000"/>
          <w:szCs w:val="21"/>
          <w:lang w:val="zh-CN"/>
        </w:rPr>
      </w:pPr>
    </w:p>
    <w:p w14:paraId="6421F707">
      <w:pPr>
        <w:autoSpaceDE w:val="0"/>
        <w:autoSpaceDN w:val="0"/>
        <w:adjustRightInd w:val="0"/>
        <w:jc w:val="center"/>
        <w:rPr>
          <w:rFonts w:hint="eastAsia" w:ascii="宋体" w:hAnsi="宋体" w:cs="宋体"/>
          <w:bCs/>
          <w:color w:val="000000"/>
          <w:szCs w:val="21"/>
          <w:lang w:val="zh-CN"/>
        </w:rPr>
      </w:pPr>
    </w:p>
    <w:p w14:paraId="060EAEDF">
      <w:pPr>
        <w:autoSpaceDE w:val="0"/>
        <w:autoSpaceDN w:val="0"/>
        <w:adjustRightInd w:val="0"/>
        <w:jc w:val="center"/>
        <w:rPr>
          <w:rFonts w:hint="eastAsia" w:ascii="宋体" w:hAnsi="宋体" w:cs="宋体"/>
          <w:bCs/>
          <w:color w:val="000000"/>
          <w:szCs w:val="21"/>
          <w:lang w:val="zh-CN"/>
        </w:rPr>
      </w:pPr>
    </w:p>
    <w:p w14:paraId="7C5766FE">
      <w:pPr>
        <w:autoSpaceDE w:val="0"/>
        <w:autoSpaceDN w:val="0"/>
        <w:adjustRightInd w:val="0"/>
        <w:jc w:val="center"/>
        <w:rPr>
          <w:rFonts w:hint="eastAsia" w:ascii="宋体" w:hAnsi="宋体" w:cs="宋体"/>
          <w:bCs/>
          <w:color w:val="000000"/>
          <w:szCs w:val="21"/>
          <w:lang w:val="zh-CN"/>
        </w:rPr>
      </w:pPr>
    </w:p>
    <w:p w14:paraId="40171124">
      <w:pPr>
        <w:autoSpaceDE w:val="0"/>
        <w:autoSpaceDN w:val="0"/>
        <w:adjustRightInd w:val="0"/>
        <w:rPr>
          <w:rFonts w:hint="eastAsia" w:ascii="宋体" w:hAnsi="宋体" w:cs="宋体"/>
          <w:bCs/>
          <w:color w:val="000000"/>
          <w:szCs w:val="21"/>
          <w:lang w:val="zh-CN"/>
        </w:rPr>
      </w:pPr>
    </w:p>
    <w:p w14:paraId="4FF95716">
      <w:pPr>
        <w:autoSpaceDE w:val="0"/>
        <w:autoSpaceDN w:val="0"/>
        <w:adjustRightInd w:val="0"/>
        <w:jc w:val="center"/>
        <w:rPr>
          <w:rFonts w:hint="eastAsia" w:ascii="宋体" w:hAnsi="宋体" w:cs="宋体"/>
          <w:b/>
          <w:bCs/>
          <w:color w:val="000000"/>
          <w:szCs w:val="21"/>
          <w:lang w:val="zh-CN"/>
        </w:rPr>
      </w:pPr>
      <w:r>
        <w:rPr>
          <w:rFonts w:hint="eastAsia" w:ascii="宋体" w:hAnsi="宋体" w:cs="宋体"/>
          <w:b/>
          <w:bCs/>
          <w:color w:val="000000"/>
          <w:szCs w:val="21"/>
          <w:lang w:val="zh-CN"/>
        </w:rPr>
        <w:br w:type="page"/>
      </w:r>
    </w:p>
    <w:p w14:paraId="2B8ECBFF">
      <w:pPr>
        <w:autoSpaceDE w:val="0"/>
        <w:autoSpaceDN w:val="0"/>
        <w:adjustRightInd w:val="0"/>
        <w:spacing w:line="600" w:lineRule="exact"/>
        <w:jc w:val="center"/>
        <w:rPr>
          <w:rFonts w:hint="eastAsia" w:ascii="宋体" w:hAnsi="宋体" w:cs="宋体"/>
          <w:sz w:val="36"/>
          <w:szCs w:val="18"/>
          <w:u w:val="single"/>
        </w:rPr>
      </w:pPr>
      <w:r>
        <w:rPr>
          <w:rFonts w:hint="eastAsia" w:ascii="宋体" w:hAnsi="宋体" w:cs="宋体"/>
          <w:sz w:val="36"/>
          <w:szCs w:val="18"/>
        </w:rPr>
        <w:t xml:space="preserve">                                          正本/副本</w:t>
      </w:r>
    </w:p>
    <w:p w14:paraId="2034C9C9">
      <w:pPr>
        <w:ind w:firstLine="1920" w:firstLineChars="600"/>
        <w:jc w:val="left"/>
        <w:rPr>
          <w:sz w:val="32"/>
          <w:szCs w:val="32"/>
          <w:u w:val="single"/>
        </w:rPr>
      </w:pPr>
    </w:p>
    <w:p w14:paraId="242DD6D3">
      <w:pPr>
        <w:ind w:firstLine="1920" w:firstLineChars="600"/>
        <w:jc w:val="left"/>
        <w:rPr>
          <w:sz w:val="32"/>
          <w:szCs w:val="32"/>
          <w:u w:val="single"/>
        </w:rPr>
      </w:pPr>
    </w:p>
    <w:p w14:paraId="0D9715FA">
      <w:pPr>
        <w:jc w:val="center"/>
        <w:rPr>
          <w:sz w:val="32"/>
          <w:szCs w:val="32"/>
          <w:u w:val="single"/>
        </w:rPr>
      </w:pPr>
      <w:r>
        <w:rPr>
          <w:sz w:val="32"/>
          <w:szCs w:val="32"/>
          <w:u w:val="single"/>
        </w:rPr>
        <w:t>（项目名称）</w:t>
      </w:r>
    </w:p>
    <w:p w14:paraId="7832C992">
      <w:pPr>
        <w:autoSpaceDE w:val="0"/>
        <w:autoSpaceDN w:val="0"/>
        <w:adjustRightInd w:val="0"/>
        <w:spacing w:line="600" w:lineRule="exact"/>
        <w:jc w:val="center"/>
        <w:rPr>
          <w:rFonts w:hint="eastAsia" w:ascii="宋体" w:hAnsi="宋体" w:cs="宋体"/>
          <w:sz w:val="36"/>
          <w:szCs w:val="18"/>
          <w:lang w:val="zh-CN"/>
        </w:rPr>
      </w:pPr>
    </w:p>
    <w:p w14:paraId="4F6BD741">
      <w:pPr>
        <w:pStyle w:val="38"/>
        <w:rPr>
          <w:lang w:val="zh-CN"/>
        </w:rPr>
      </w:pPr>
    </w:p>
    <w:p w14:paraId="772DC422">
      <w:pPr>
        <w:autoSpaceDE w:val="0"/>
        <w:autoSpaceDN w:val="0"/>
        <w:adjustRightInd w:val="0"/>
        <w:spacing w:line="600" w:lineRule="exact"/>
        <w:rPr>
          <w:rFonts w:hint="eastAsia" w:ascii="宋体" w:hAnsi="宋体" w:cs="宋体"/>
          <w:szCs w:val="18"/>
          <w:lang w:val="zh-CN"/>
        </w:rPr>
      </w:pPr>
    </w:p>
    <w:p w14:paraId="31CA3F4B">
      <w:pPr>
        <w:autoSpaceDE w:val="0"/>
        <w:autoSpaceDN w:val="0"/>
        <w:adjustRightInd w:val="0"/>
        <w:spacing w:line="600" w:lineRule="exact"/>
        <w:jc w:val="left"/>
        <w:rPr>
          <w:rFonts w:hint="eastAsia" w:ascii="宋体" w:hAnsi="宋体" w:cs="宋体"/>
          <w:szCs w:val="18"/>
          <w:lang w:val="zh-CN"/>
        </w:rPr>
      </w:pPr>
    </w:p>
    <w:p w14:paraId="36EAEC4D">
      <w:pPr>
        <w:autoSpaceDE w:val="0"/>
        <w:autoSpaceDN w:val="0"/>
        <w:adjustRightInd w:val="0"/>
        <w:spacing w:line="400" w:lineRule="exact"/>
        <w:jc w:val="left"/>
        <w:rPr>
          <w:rFonts w:hint="eastAsia" w:ascii="宋体" w:hAnsi="宋体" w:cs="宋体"/>
          <w:szCs w:val="18"/>
          <w:lang w:val="zh-CN"/>
        </w:rPr>
      </w:pPr>
    </w:p>
    <w:p w14:paraId="6D780775">
      <w:pPr>
        <w:autoSpaceDE w:val="0"/>
        <w:autoSpaceDN w:val="0"/>
        <w:adjustRightInd w:val="0"/>
        <w:jc w:val="center"/>
        <w:rPr>
          <w:rFonts w:hint="eastAsia" w:ascii="宋体" w:hAnsi="宋体" w:cs="宋体"/>
          <w:b/>
          <w:bCs/>
          <w:sz w:val="84"/>
          <w:szCs w:val="84"/>
          <w:lang w:val="zh-CN"/>
        </w:rPr>
      </w:pPr>
      <w:r>
        <w:rPr>
          <w:rFonts w:hint="eastAsia" w:ascii="宋体" w:hAnsi="宋体" w:cs="宋体"/>
          <w:b/>
          <w:bCs/>
          <w:sz w:val="84"/>
          <w:szCs w:val="84"/>
          <w:lang w:val="zh-CN"/>
        </w:rPr>
        <w:t>投</w:t>
      </w:r>
      <w:r>
        <w:rPr>
          <w:rFonts w:hint="eastAsia" w:ascii="宋体" w:hAnsi="宋体" w:cs="宋体"/>
          <w:b/>
          <w:bCs/>
          <w:sz w:val="84"/>
          <w:szCs w:val="84"/>
        </w:rPr>
        <w:t xml:space="preserve"> </w:t>
      </w:r>
      <w:r>
        <w:rPr>
          <w:rFonts w:hint="eastAsia" w:ascii="宋体" w:hAnsi="宋体" w:cs="宋体"/>
          <w:b/>
          <w:bCs/>
          <w:sz w:val="84"/>
          <w:szCs w:val="84"/>
          <w:lang w:val="zh-CN"/>
        </w:rPr>
        <w:t>标</w:t>
      </w:r>
      <w:r>
        <w:rPr>
          <w:rFonts w:hint="eastAsia" w:ascii="宋体" w:hAnsi="宋体" w:cs="宋体"/>
          <w:b/>
          <w:bCs/>
          <w:sz w:val="84"/>
          <w:szCs w:val="84"/>
        </w:rPr>
        <w:t xml:space="preserve"> </w:t>
      </w:r>
      <w:r>
        <w:rPr>
          <w:rFonts w:hint="eastAsia" w:ascii="宋体" w:hAnsi="宋体" w:cs="宋体"/>
          <w:b/>
          <w:bCs/>
          <w:sz w:val="84"/>
          <w:szCs w:val="84"/>
          <w:lang w:val="zh-CN"/>
        </w:rPr>
        <w:t>文</w:t>
      </w:r>
      <w:r>
        <w:rPr>
          <w:rFonts w:hint="eastAsia" w:ascii="宋体" w:hAnsi="宋体" w:cs="宋体"/>
          <w:b/>
          <w:bCs/>
          <w:sz w:val="84"/>
          <w:szCs w:val="84"/>
        </w:rPr>
        <w:t xml:space="preserve"> </w:t>
      </w:r>
      <w:r>
        <w:rPr>
          <w:rFonts w:hint="eastAsia" w:ascii="宋体" w:hAnsi="宋体" w:cs="宋体"/>
          <w:b/>
          <w:bCs/>
          <w:sz w:val="84"/>
          <w:szCs w:val="84"/>
          <w:lang w:val="zh-CN"/>
        </w:rPr>
        <w:t>件</w:t>
      </w:r>
    </w:p>
    <w:p w14:paraId="30C30A44">
      <w:pPr>
        <w:autoSpaceDE w:val="0"/>
        <w:autoSpaceDN w:val="0"/>
        <w:adjustRightInd w:val="0"/>
        <w:spacing w:line="400" w:lineRule="exact"/>
        <w:jc w:val="left"/>
        <w:rPr>
          <w:rFonts w:hint="eastAsia" w:ascii="宋体" w:hAnsi="宋体" w:cs="宋体"/>
          <w:szCs w:val="18"/>
          <w:lang w:val="zh-CN"/>
        </w:rPr>
      </w:pPr>
    </w:p>
    <w:p w14:paraId="456DA8CC">
      <w:pPr>
        <w:autoSpaceDE w:val="0"/>
        <w:autoSpaceDN w:val="0"/>
        <w:adjustRightInd w:val="0"/>
        <w:spacing w:line="400" w:lineRule="exact"/>
        <w:ind w:firstLine="3200" w:firstLineChars="1000"/>
        <w:rPr>
          <w:rFonts w:hint="eastAsia" w:ascii="宋体" w:hAnsi="宋体" w:cs="宋体"/>
          <w:szCs w:val="18"/>
          <w:u w:val="single"/>
        </w:rPr>
      </w:pPr>
      <w:r>
        <w:rPr>
          <w:rFonts w:hint="eastAsia"/>
          <w:sz w:val="32"/>
          <w:szCs w:val="32"/>
        </w:rPr>
        <w:t>项目编号：</w:t>
      </w:r>
      <w:r>
        <w:rPr>
          <w:rFonts w:hint="eastAsia"/>
          <w:sz w:val="32"/>
          <w:szCs w:val="32"/>
          <w:u w:val="single"/>
        </w:rPr>
        <w:t xml:space="preserve">               </w:t>
      </w:r>
    </w:p>
    <w:p w14:paraId="1AF168A3">
      <w:pPr>
        <w:autoSpaceDE w:val="0"/>
        <w:autoSpaceDN w:val="0"/>
        <w:adjustRightInd w:val="0"/>
        <w:spacing w:line="400" w:lineRule="exact"/>
        <w:jc w:val="left"/>
        <w:rPr>
          <w:rFonts w:hint="eastAsia" w:ascii="宋体" w:hAnsi="宋体" w:cs="宋体"/>
          <w:szCs w:val="18"/>
          <w:lang w:val="zh-CN"/>
        </w:rPr>
      </w:pPr>
    </w:p>
    <w:p w14:paraId="3A47F67A">
      <w:pPr>
        <w:autoSpaceDE w:val="0"/>
        <w:autoSpaceDN w:val="0"/>
        <w:adjustRightInd w:val="0"/>
        <w:spacing w:line="400" w:lineRule="exact"/>
        <w:jc w:val="left"/>
        <w:rPr>
          <w:rFonts w:hint="eastAsia" w:ascii="宋体" w:hAnsi="宋体" w:cs="宋体"/>
          <w:szCs w:val="18"/>
          <w:lang w:val="zh-CN"/>
        </w:rPr>
      </w:pPr>
    </w:p>
    <w:p w14:paraId="75C7882C">
      <w:pPr>
        <w:autoSpaceDE w:val="0"/>
        <w:autoSpaceDN w:val="0"/>
        <w:adjustRightInd w:val="0"/>
        <w:spacing w:line="400" w:lineRule="exact"/>
        <w:jc w:val="left"/>
        <w:rPr>
          <w:rFonts w:hint="eastAsia" w:ascii="宋体" w:hAnsi="宋体" w:cs="宋体"/>
          <w:szCs w:val="18"/>
          <w:lang w:val="zh-CN"/>
        </w:rPr>
      </w:pPr>
    </w:p>
    <w:p w14:paraId="02C008BC">
      <w:pPr>
        <w:pStyle w:val="14"/>
        <w:rPr>
          <w:rFonts w:hint="eastAsia" w:ascii="宋体" w:hAnsi="宋体" w:cs="宋体"/>
        </w:rPr>
      </w:pPr>
    </w:p>
    <w:p w14:paraId="1C1BB472">
      <w:pPr>
        <w:autoSpaceDE w:val="0"/>
        <w:autoSpaceDN w:val="0"/>
        <w:adjustRightInd w:val="0"/>
        <w:spacing w:line="400" w:lineRule="exact"/>
        <w:jc w:val="left"/>
        <w:rPr>
          <w:rFonts w:hint="eastAsia" w:ascii="宋体" w:hAnsi="宋体" w:cs="宋体"/>
          <w:szCs w:val="18"/>
          <w:lang w:val="zh-CN"/>
        </w:rPr>
      </w:pPr>
    </w:p>
    <w:p w14:paraId="6DE629F8">
      <w:pPr>
        <w:autoSpaceDE w:val="0"/>
        <w:autoSpaceDN w:val="0"/>
        <w:adjustRightInd w:val="0"/>
        <w:spacing w:line="400" w:lineRule="exact"/>
        <w:jc w:val="left"/>
        <w:rPr>
          <w:rFonts w:hint="eastAsia" w:ascii="宋体" w:hAnsi="宋体" w:cs="宋体"/>
          <w:szCs w:val="18"/>
          <w:lang w:val="zh-CN"/>
        </w:rPr>
      </w:pPr>
    </w:p>
    <w:p w14:paraId="31E4F48C">
      <w:pPr>
        <w:autoSpaceDE w:val="0"/>
        <w:autoSpaceDN w:val="0"/>
        <w:adjustRightInd w:val="0"/>
        <w:spacing w:line="400" w:lineRule="exact"/>
        <w:jc w:val="left"/>
        <w:rPr>
          <w:rFonts w:hint="eastAsia" w:ascii="宋体" w:hAnsi="宋体" w:cs="宋体"/>
          <w:szCs w:val="18"/>
          <w:lang w:val="zh-CN"/>
        </w:rPr>
      </w:pPr>
    </w:p>
    <w:p w14:paraId="3786769A">
      <w:pPr>
        <w:pStyle w:val="38"/>
        <w:rPr>
          <w:rFonts w:hint="eastAsia" w:ascii="宋体" w:hAnsi="宋体" w:cs="宋体"/>
          <w:szCs w:val="18"/>
          <w:lang w:val="zh-CN"/>
        </w:rPr>
      </w:pPr>
    </w:p>
    <w:p w14:paraId="3C80C052">
      <w:pPr>
        <w:pStyle w:val="38"/>
        <w:rPr>
          <w:rFonts w:hint="eastAsia" w:ascii="宋体" w:hAnsi="宋体" w:cs="宋体"/>
          <w:szCs w:val="18"/>
          <w:lang w:val="zh-CN"/>
        </w:rPr>
      </w:pPr>
    </w:p>
    <w:p w14:paraId="325EE37B">
      <w:pPr>
        <w:autoSpaceDE w:val="0"/>
        <w:autoSpaceDN w:val="0"/>
        <w:adjustRightInd w:val="0"/>
        <w:spacing w:line="400" w:lineRule="exact"/>
        <w:jc w:val="center"/>
        <w:rPr>
          <w:rFonts w:hint="eastAsia" w:ascii="宋体" w:hAnsi="宋体" w:cs="宋体"/>
          <w:sz w:val="28"/>
          <w:szCs w:val="18"/>
        </w:rPr>
      </w:pPr>
      <w:r>
        <w:rPr>
          <w:rFonts w:hint="eastAsia" w:ascii="宋体" w:hAnsi="宋体" w:cs="宋体"/>
          <w:sz w:val="28"/>
          <w:szCs w:val="18"/>
        </w:rPr>
        <w:t xml:space="preserve">   </w:t>
      </w:r>
    </w:p>
    <w:p w14:paraId="7D49A96A">
      <w:pPr>
        <w:autoSpaceDE w:val="0"/>
        <w:autoSpaceDN w:val="0"/>
        <w:adjustRightInd w:val="0"/>
        <w:spacing w:line="400" w:lineRule="exact"/>
        <w:jc w:val="center"/>
        <w:rPr>
          <w:rFonts w:hint="eastAsia" w:ascii="宋体" w:hAnsi="宋体" w:cs="宋体"/>
          <w:sz w:val="28"/>
          <w:szCs w:val="18"/>
        </w:rPr>
      </w:pPr>
    </w:p>
    <w:p w14:paraId="0DF54F82">
      <w:pPr>
        <w:autoSpaceDE w:val="0"/>
        <w:autoSpaceDN w:val="0"/>
        <w:adjustRightInd w:val="0"/>
        <w:spacing w:line="400" w:lineRule="exact"/>
        <w:jc w:val="center"/>
        <w:rPr>
          <w:rFonts w:hint="eastAsia" w:ascii="宋体" w:hAnsi="宋体" w:cs="宋体"/>
          <w:sz w:val="28"/>
          <w:szCs w:val="18"/>
          <w:lang w:val="zh-CN"/>
        </w:rPr>
      </w:pPr>
      <w:r>
        <w:rPr>
          <w:rFonts w:hint="eastAsia" w:ascii="宋体" w:hAnsi="宋体" w:cs="宋体"/>
          <w:sz w:val="28"/>
          <w:szCs w:val="18"/>
        </w:rPr>
        <w:t xml:space="preserve">   </w:t>
      </w:r>
      <w:r>
        <w:rPr>
          <w:rFonts w:hint="eastAsia" w:ascii="宋体" w:hAnsi="宋体" w:cs="宋体"/>
          <w:sz w:val="28"/>
          <w:szCs w:val="18"/>
          <w:lang w:val="zh-CN"/>
        </w:rPr>
        <w:t>投标人：</w:t>
      </w:r>
      <w:r>
        <w:rPr>
          <w:rFonts w:hint="eastAsia" w:ascii="宋体" w:hAnsi="宋体" w:cs="宋体"/>
          <w:sz w:val="28"/>
          <w:szCs w:val="18"/>
          <w:u w:val="single"/>
          <w:lang w:val="zh-CN"/>
        </w:rPr>
        <w:t xml:space="preserve">                      </w:t>
      </w:r>
      <w:r>
        <w:rPr>
          <w:rFonts w:hint="eastAsia" w:ascii="宋体" w:hAnsi="宋体" w:cs="宋体"/>
          <w:sz w:val="28"/>
          <w:szCs w:val="18"/>
          <w:lang w:val="zh-CN"/>
        </w:rPr>
        <w:t>(盖单位章)</w:t>
      </w:r>
    </w:p>
    <w:p w14:paraId="16F7D56B">
      <w:pPr>
        <w:autoSpaceDE w:val="0"/>
        <w:autoSpaceDN w:val="0"/>
        <w:adjustRightInd w:val="0"/>
        <w:spacing w:line="400" w:lineRule="exact"/>
        <w:jc w:val="center"/>
        <w:rPr>
          <w:rFonts w:hint="eastAsia" w:ascii="宋体" w:hAnsi="宋体" w:cs="宋体"/>
          <w:sz w:val="28"/>
          <w:szCs w:val="18"/>
          <w:lang w:val="zh-CN"/>
        </w:rPr>
      </w:pPr>
    </w:p>
    <w:p w14:paraId="3CC31D46">
      <w:pPr>
        <w:autoSpaceDE w:val="0"/>
        <w:autoSpaceDN w:val="0"/>
        <w:adjustRightInd w:val="0"/>
        <w:spacing w:line="400" w:lineRule="exact"/>
        <w:jc w:val="center"/>
        <w:rPr>
          <w:rFonts w:hint="eastAsia" w:ascii="宋体" w:hAnsi="宋体" w:cs="宋体"/>
          <w:sz w:val="28"/>
          <w:szCs w:val="18"/>
          <w:lang w:val="zh-CN"/>
        </w:rPr>
      </w:pPr>
      <w:r>
        <w:rPr>
          <w:rFonts w:hint="eastAsia" w:ascii="宋体" w:hAnsi="宋体" w:cs="宋体"/>
          <w:sz w:val="28"/>
          <w:szCs w:val="18"/>
        </w:rPr>
        <w:t xml:space="preserve">   </w:t>
      </w:r>
      <w:r>
        <w:rPr>
          <w:rFonts w:hint="eastAsia" w:ascii="宋体" w:hAnsi="宋体" w:cs="宋体"/>
          <w:sz w:val="28"/>
          <w:szCs w:val="18"/>
          <w:lang w:val="zh-CN"/>
        </w:rPr>
        <w:t>法定代表人或其委托代理人：</w:t>
      </w:r>
      <w:r>
        <w:rPr>
          <w:rFonts w:hint="eastAsia" w:ascii="宋体" w:hAnsi="宋体" w:cs="宋体"/>
          <w:sz w:val="28"/>
          <w:szCs w:val="18"/>
          <w:u w:val="single"/>
          <w:lang w:val="zh-CN"/>
        </w:rPr>
        <w:t xml:space="preserve">        </w:t>
      </w:r>
      <w:r>
        <w:rPr>
          <w:rFonts w:hint="eastAsia" w:ascii="宋体" w:hAnsi="宋体" w:cs="宋体"/>
          <w:sz w:val="28"/>
          <w:szCs w:val="18"/>
          <w:lang w:val="zh-CN"/>
        </w:rPr>
        <w:t>(签字)</w:t>
      </w:r>
    </w:p>
    <w:p w14:paraId="2446D123">
      <w:pPr>
        <w:autoSpaceDE w:val="0"/>
        <w:autoSpaceDN w:val="0"/>
        <w:adjustRightInd w:val="0"/>
        <w:spacing w:line="400" w:lineRule="exact"/>
        <w:ind w:firstLine="280" w:firstLineChars="100"/>
        <w:jc w:val="center"/>
        <w:rPr>
          <w:rFonts w:hint="eastAsia" w:ascii="宋体" w:hAnsi="宋体" w:cs="宋体"/>
          <w:sz w:val="28"/>
          <w:szCs w:val="18"/>
          <w:u w:val="single"/>
        </w:rPr>
      </w:pPr>
    </w:p>
    <w:p w14:paraId="4BD1E2DD">
      <w:pPr>
        <w:autoSpaceDE w:val="0"/>
        <w:autoSpaceDN w:val="0"/>
        <w:adjustRightInd w:val="0"/>
        <w:jc w:val="center"/>
        <w:rPr>
          <w:rFonts w:hint="eastAsia" w:ascii="宋体" w:hAnsi="宋体" w:cs="宋体"/>
          <w:b/>
          <w:bCs/>
          <w:color w:val="000000"/>
          <w:szCs w:val="21"/>
          <w:lang w:val="zh-CN"/>
        </w:rPr>
      </w:pPr>
      <w:r>
        <w:rPr>
          <w:rFonts w:hint="eastAsia" w:ascii="宋体" w:hAnsi="宋体" w:cs="宋体"/>
          <w:sz w:val="28"/>
          <w:szCs w:val="28"/>
          <w:u w:val="single"/>
          <w:lang w:val="zh-CN"/>
        </w:rPr>
        <w:t xml:space="preserve">       </w:t>
      </w:r>
      <w:r>
        <w:rPr>
          <w:rFonts w:hint="eastAsia" w:ascii="宋体" w:hAnsi="宋体" w:cs="宋体"/>
          <w:sz w:val="28"/>
          <w:szCs w:val="28"/>
          <w:lang w:val="zh-CN"/>
        </w:rPr>
        <w:t>年</w:t>
      </w:r>
      <w:r>
        <w:rPr>
          <w:rFonts w:hint="eastAsia" w:ascii="宋体" w:hAnsi="宋体" w:cs="宋体"/>
          <w:sz w:val="28"/>
          <w:szCs w:val="28"/>
          <w:u w:val="single"/>
          <w:lang w:val="zh-CN"/>
        </w:rPr>
        <w:t xml:space="preserve">       </w:t>
      </w:r>
      <w:r>
        <w:rPr>
          <w:rFonts w:hint="eastAsia" w:ascii="宋体" w:hAnsi="宋体" w:cs="宋体"/>
          <w:sz w:val="28"/>
          <w:szCs w:val="28"/>
          <w:lang w:val="zh-CN"/>
        </w:rPr>
        <w:t>月</w:t>
      </w:r>
      <w:r>
        <w:rPr>
          <w:rFonts w:hint="eastAsia" w:ascii="宋体" w:hAnsi="宋体" w:cs="宋体"/>
          <w:sz w:val="28"/>
          <w:szCs w:val="28"/>
          <w:u w:val="single"/>
          <w:lang w:val="zh-CN"/>
        </w:rPr>
        <w:t xml:space="preserve">       </w:t>
      </w:r>
      <w:r>
        <w:rPr>
          <w:rFonts w:hint="eastAsia" w:ascii="宋体" w:hAnsi="宋体" w:cs="宋体"/>
          <w:sz w:val="28"/>
          <w:szCs w:val="28"/>
          <w:lang w:val="zh-CN"/>
        </w:rPr>
        <w:t>日</w:t>
      </w:r>
      <w:r>
        <w:rPr>
          <w:rFonts w:hint="eastAsia" w:ascii="宋体" w:hAnsi="宋体" w:cs="宋体"/>
          <w:b/>
          <w:bCs/>
          <w:color w:val="000000"/>
          <w:szCs w:val="21"/>
          <w:lang w:val="zh-CN"/>
        </w:rPr>
        <w:br w:type="page"/>
      </w:r>
    </w:p>
    <w:p w14:paraId="4DF90623">
      <w:pPr>
        <w:spacing w:before="101" w:line="227" w:lineRule="auto"/>
        <w:ind w:left="2376"/>
        <w:outlineLvl w:val="1"/>
        <w:rPr>
          <w:rFonts w:hint="eastAsia" w:ascii="黑体" w:hAnsi="黑体" w:eastAsia="黑体" w:cs="黑体"/>
          <w:spacing w:val="10"/>
          <w:sz w:val="31"/>
          <w:szCs w:val="31"/>
          <w14:textOutline w14:w="5791" w14:cap="sq" w14:cmpd="sng" w14:algn="ctr">
            <w14:solidFill>
              <w14:srgbClr w14:val="000000"/>
            </w14:solidFill>
            <w14:prstDash w14:val="solid"/>
            <w14:bevel/>
          </w14:textOutline>
        </w:rPr>
      </w:pPr>
    </w:p>
    <w:p w14:paraId="656D3BFD">
      <w:pPr>
        <w:spacing w:before="101" w:line="227" w:lineRule="auto"/>
        <w:ind w:left="2376"/>
        <w:outlineLvl w:val="1"/>
        <w:rPr>
          <w:rFonts w:hint="eastAsia" w:ascii="黑体" w:hAnsi="黑体" w:eastAsia="黑体" w:cs="黑体"/>
          <w:spacing w:val="10"/>
          <w:sz w:val="31"/>
          <w:szCs w:val="31"/>
          <w14:textOutline w14:w="5791" w14:cap="sq" w14:cmpd="sng" w14:algn="ctr">
            <w14:solidFill>
              <w14:srgbClr w14:val="000000"/>
            </w14:solidFill>
            <w14:prstDash w14:val="solid"/>
            <w14:bevel/>
          </w14:textOutline>
        </w:rPr>
      </w:pPr>
    </w:p>
    <w:p w14:paraId="2AA3397F">
      <w:pPr>
        <w:spacing w:before="101" w:line="227" w:lineRule="auto"/>
        <w:ind w:left="2376"/>
        <w:outlineLvl w:val="1"/>
        <w:rPr>
          <w:rFonts w:hint="eastAsia" w:ascii="黑体" w:hAnsi="黑体" w:eastAsia="黑体" w:cs="黑体"/>
          <w:spacing w:val="10"/>
          <w:sz w:val="31"/>
          <w:szCs w:val="31"/>
          <w14:textOutline w14:w="5791" w14:cap="sq" w14:cmpd="sng" w14:algn="ctr">
            <w14:solidFill>
              <w14:srgbClr w14:val="000000"/>
            </w14:solidFill>
            <w14:prstDash w14:val="solid"/>
            <w14:bevel/>
          </w14:textOutline>
        </w:rPr>
      </w:pPr>
    </w:p>
    <w:p w14:paraId="52E175C8">
      <w:pPr>
        <w:spacing w:before="101" w:line="227" w:lineRule="auto"/>
        <w:jc w:val="center"/>
        <w:outlineLvl w:val="1"/>
        <w:rPr>
          <w:rFonts w:hint="eastAsia" w:ascii="黑体" w:hAnsi="黑体" w:eastAsia="黑体" w:cs="黑体"/>
          <w:spacing w:val="10"/>
          <w:sz w:val="31"/>
          <w:szCs w:val="31"/>
          <w14:textOutline w14:w="5791" w14:cap="sq" w14:cmpd="sng" w14:algn="ctr">
            <w14:solidFill>
              <w14:srgbClr w14:val="000000"/>
            </w14:solidFill>
            <w14:prstDash w14:val="solid"/>
            <w14:bevel/>
          </w14:textOutline>
        </w:rPr>
      </w:pPr>
    </w:p>
    <w:p w14:paraId="2E705FC9">
      <w:pPr>
        <w:spacing w:before="101" w:line="227" w:lineRule="auto"/>
        <w:jc w:val="center"/>
        <w:outlineLvl w:val="1"/>
        <w:rPr>
          <w:rFonts w:hint="eastAsia" w:ascii="黑体" w:hAnsi="黑体" w:eastAsia="黑体" w:cs="黑体"/>
          <w:spacing w:val="10"/>
          <w:sz w:val="31"/>
          <w:szCs w:val="31"/>
          <w14:textOutline w14:w="5791" w14:cap="sq" w14:cmpd="sng" w14:algn="ctr">
            <w14:solidFill>
              <w14:srgbClr w14:val="000000"/>
            </w14:solidFill>
            <w14:prstDash w14:val="solid"/>
            <w14:bevel/>
          </w14:textOutline>
        </w:rPr>
      </w:pPr>
    </w:p>
    <w:p w14:paraId="28176B9A">
      <w:pPr>
        <w:spacing w:before="101" w:line="227" w:lineRule="auto"/>
        <w:jc w:val="center"/>
        <w:outlineLvl w:val="1"/>
        <w:rPr>
          <w:rFonts w:hint="eastAsia" w:ascii="黑体" w:hAnsi="黑体" w:eastAsia="黑体" w:cs="黑体"/>
          <w:spacing w:val="10"/>
          <w:sz w:val="31"/>
          <w:szCs w:val="31"/>
          <w14:textOutline w14:w="5791" w14:cap="sq" w14:cmpd="sng" w14:algn="ctr">
            <w14:solidFill>
              <w14:srgbClr w14:val="000000"/>
            </w14:solidFill>
            <w14:prstDash w14:val="solid"/>
            <w14:bevel/>
          </w14:textOutline>
        </w:rPr>
      </w:pPr>
    </w:p>
    <w:p w14:paraId="2587B4A9">
      <w:pPr>
        <w:spacing w:before="101" w:line="227" w:lineRule="auto"/>
        <w:jc w:val="center"/>
        <w:outlineLvl w:val="1"/>
        <w:rPr>
          <w:rFonts w:hint="eastAsia" w:ascii="黑体" w:hAnsi="黑体" w:eastAsia="黑体" w:cs="黑体"/>
          <w:spacing w:val="10"/>
          <w:sz w:val="31"/>
          <w:szCs w:val="31"/>
          <w14:textOutline w14:w="5791" w14:cap="sq" w14:cmpd="sng" w14:algn="ctr">
            <w14:solidFill>
              <w14:srgbClr w14:val="000000"/>
            </w14:solidFill>
            <w14:prstDash w14:val="solid"/>
            <w14:bevel/>
          </w14:textOutline>
        </w:rPr>
      </w:pPr>
    </w:p>
    <w:p w14:paraId="622A7655">
      <w:pPr>
        <w:spacing w:before="101" w:line="227" w:lineRule="auto"/>
        <w:jc w:val="center"/>
        <w:outlineLvl w:val="1"/>
        <w:rPr>
          <w:rFonts w:hint="eastAsia" w:ascii="黑体" w:hAnsi="黑体" w:eastAsia="黑体" w:cs="黑体"/>
          <w:spacing w:val="10"/>
          <w:sz w:val="31"/>
          <w:szCs w:val="31"/>
          <w14:textOutline w14:w="5791" w14:cap="sq" w14:cmpd="sng" w14:algn="ctr">
            <w14:solidFill>
              <w14:srgbClr w14:val="000000"/>
            </w14:solidFill>
            <w14:prstDash w14:val="solid"/>
            <w14:bevel/>
          </w14:textOutline>
        </w:rPr>
      </w:pPr>
    </w:p>
    <w:p w14:paraId="120A8AE6">
      <w:pPr>
        <w:spacing w:before="101" w:line="227" w:lineRule="auto"/>
        <w:jc w:val="center"/>
        <w:outlineLvl w:val="1"/>
        <w:rPr>
          <w:rFonts w:hint="eastAsia" w:ascii="黑体" w:hAnsi="黑体" w:eastAsia="黑体" w:cs="黑体"/>
          <w:spacing w:val="10"/>
          <w:sz w:val="31"/>
          <w:szCs w:val="31"/>
          <w14:textOutline w14:w="5791" w14:cap="sq" w14:cmpd="sng" w14:algn="ctr">
            <w14:solidFill>
              <w14:srgbClr w14:val="000000"/>
            </w14:solidFill>
            <w14:prstDash w14:val="solid"/>
            <w14:bevel/>
          </w14:textOutline>
        </w:rPr>
      </w:pPr>
    </w:p>
    <w:p w14:paraId="397F623C">
      <w:pPr>
        <w:spacing w:before="101" w:line="227" w:lineRule="auto"/>
        <w:jc w:val="center"/>
        <w:outlineLvl w:val="1"/>
        <w:rPr>
          <w:rFonts w:hint="eastAsia" w:ascii="黑体" w:hAnsi="黑体" w:eastAsia="黑体" w:cs="黑体"/>
          <w:spacing w:val="10"/>
          <w:sz w:val="31"/>
          <w:szCs w:val="31"/>
          <w14:textOutline w14:w="5791" w14:cap="sq" w14:cmpd="sng" w14:algn="ctr">
            <w14:solidFill>
              <w14:srgbClr w14:val="000000"/>
            </w14:solidFill>
            <w14:prstDash w14:val="solid"/>
            <w14:bevel/>
          </w14:textOutline>
        </w:rPr>
      </w:pPr>
    </w:p>
    <w:p w14:paraId="66E878FA">
      <w:pPr>
        <w:spacing w:before="101" w:line="227" w:lineRule="auto"/>
        <w:jc w:val="center"/>
        <w:outlineLvl w:val="1"/>
        <w:rPr>
          <w:rFonts w:hint="eastAsia" w:ascii="黑体" w:hAnsi="黑体" w:eastAsia="黑体" w:cs="黑体"/>
          <w:spacing w:val="10"/>
          <w:sz w:val="31"/>
          <w:szCs w:val="31"/>
          <w14:textOutline w14:w="5791" w14:cap="sq" w14:cmpd="sng" w14:algn="ctr">
            <w14:solidFill>
              <w14:srgbClr w14:val="000000"/>
            </w14:solidFill>
            <w14:prstDash w14:val="solid"/>
            <w14:bevel/>
          </w14:textOutline>
        </w:rPr>
      </w:pPr>
    </w:p>
    <w:p w14:paraId="7F75FF36">
      <w:pPr>
        <w:spacing w:before="101" w:line="227" w:lineRule="auto"/>
        <w:jc w:val="center"/>
        <w:outlineLvl w:val="1"/>
        <w:rPr>
          <w:rFonts w:hint="eastAsia" w:ascii="黑体" w:hAnsi="黑体" w:eastAsia="黑体" w:cs="黑体"/>
          <w:sz w:val="32"/>
          <w:szCs w:val="32"/>
        </w:rPr>
      </w:pPr>
      <w:r>
        <w:rPr>
          <w:rFonts w:ascii="黑体" w:hAnsi="黑体" w:eastAsia="黑体" w:cs="黑体"/>
          <w:spacing w:val="10"/>
          <w:sz w:val="32"/>
          <w:szCs w:val="32"/>
          <w14:textOutline w14:w="5791" w14:cap="sq" w14:cmpd="sng" w14:algn="ctr">
            <w14:solidFill>
              <w14:srgbClr w14:val="000000"/>
            </w14:solidFill>
            <w14:prstDash w14:val="solid"/>
            <w14:bevel/>
          </w14:textOutline>
        </w:rPr>
        <w:t>第一部分、资格审查文件部分</w:t>
      </w:r>
    </w:p>
    <w:p w14:paraId="6CCCA623">
      <w:pPr>
        <w:autoSpaceDE w:val="0"/>
        <w:autoSpaceDN w:val="0"/>
        <w:adjustRightInd w:val="0"/>
        <w:jc w:val="center"/>
        <w:rPr>
          <w:rFonts w:hint="eastAsia" w:ascii="宋体" w:hAnsi="宋体" w:cs="宋体"/>
          <w:b/>
          <w:bCs/>
          <w:color w:val="000000"/>
          <w:sz w:val="28"/>
          <w:szCs w:val="28"/>
          <w:lang w:val="zh-CN"/>
        </w:rPr>
      </w:pPr>
    </w:p>
    <w:p w14:paraId="020E7FBC">
      <w:pPr>
        <w:autoSpaceDE w:val="0"/>
        <w:autoSpaceDN w:val="0"/>
        <w:adjustRightInd w:val="0"/>
        <w:jc w:val="center"/>
        <w:rPr>
          <w:rFonts w:hint="eastAsia" w:ascii="宋体" w:hAnsi="宋体" w:cs="宋体"/>
          <w:b/>
          <w:bCs/>
          <w:color w:val="000000"/>
          <w:sz w:val="28"/>
          <w:szCs w:val="28"/>
          <w:lang w:val="zh-CN"/>
        </w:rPr>
      </w:pPr>
    </w:p>
    <w:p w14:paraId="0146FBE2">
      <w:pPr>
        <w:autoSpaceDE w:val="0"/>
        <w:autoSpaceDN w:val="0"/>
        <w:adjustRightInd w:val="0"/>
        <w:jc w:val="center"/>
        <w:rPr>
          <w:rFonts w:hint="eastAsia" w:ascii="宋体" w:hAnsi="宋体" w:cs="宋体"/>
          <w:b/>
          <w:bCs/>
          <w:color w:val="000000"/>
          <w:sz w:val="28"/>
          <w:szCs w:val="28"/>
          <w:lang w:val="zh-CN"/>
        </w:rPr>
      </w:pPr>
    </w:p>
    <w:p w14:paraId="1B39C381">
      <w:pPr>
        <w:autoSpaceDE w:val="0"/>
        <w:autoSpaceDN w:val="0"/>
        <w:adjustRightInd w:val="0"/>
        <w:jc w:val="center"/>
        <w:rPr>
          <w:rFonts w:hint="eastAsia" w:ascii="宋体" w:hAnsi="宋体" w:cs="宋体"/>
          <w:b/>
          <w:bCs/>
          <w:color w:val="000000"/>
          <w:sz w:val="28"/>
          <w:szCs w:val="28"/>
          <w:lang w:val="zh-CN"/>
        </w:rPr>
      </w:pPr>
    </w:p>
    <w:p w14:paraId="120DF165">
      <w:pPr>
        <w:autoSpaceDE w:val="0"/>
        <w:autoSpaceDN w:val="0"/>
        <w:adjustRightInd w:val="0"/>
        <w:jc w:val="center"/>
        <w:rPr>
          <w:rFonts w:hint="eastAsia" w:ascii="宋体" w:hAnsi="宋体" w:cs="宋体"/>
          <w:b/>
          <w:bCs/>
          <w:color w:val="000000"/>
          <w:sz w:val="28"/>
          <w:szCs w:val="28"/>
          <w:lang w:val="zh-CN"/>
        </w:rPr>
      </w:pPr>
    </w:p>
    <w:p w14:paraId="3BF2659A">
      <w:pPr>
        <w:autoSpaceDE w:val="0"/>
        <w:autoSpaceDN w:val="0"/>
        <w:adjustRightInd w:val="0"/>
        <w:jc w:val="center"/>
        <w:rPr>
          <w:rFonts w:hint="eastAsia" w:ascii="宋体" w:hAnsi="宋体" w:cs="宋体"/>
          <w:b/>
          <w:bCs/>
          <w:color w:val="000000"/>
          <w:sz w:val="28"/>
          <w:szCs w:val="28"/>
          <w:lang w:val="zh-CN"/>
        </w:rPr>
      </w:pPr>
    </w:p>
    <w:p w14:paraId="5D30A617">
      <w:pPr>
        <w:autoSpaceDE w:val="0"/>
        <w:autoSpaceDN w:val="0"/>
        <w:adjustRightInd w:val="0"/>
        <w:jc w:val="center"/>
        <w:rPr>
          <w:rFonts w:hint="eastAsia" w:ascii="宋体" w:hAnsi="宋体" w:cs="宋体"/>
          <w:b/>
          <w:bCs/>
          <w:color w:val="000000"/>
          <w:sz w:val="28"/>
          <w:szCs w:val="28"/>
          <w:lang w:val="zh-CN"/>
        </w:rPr>
      </w:pPr>
    </w:p>
    <w:p w14:paraId="2E609A1F">
      <w:pPr>
        <w:autoSpaceDE w:val="0"/>
        <w:autoSpaceDN w:val="0"/>
        <w:adjustRightInd w:val="0"/>
        <w:jc w:val="center"/>
        <w:rPr>
          <w:rFonts w:hint="eastAsia" w:ascii="宋体" w:hAnsi="宋体" w:cs="宋体"/>
          <w:b/>
          <w:bCs/>
          <w:color w:val="000000"/>
          <w:sz w:val="28"/>
          <w:szCs w:val="28"/>
          <w:lang w:val="zh-CN"/>
        </w:rPr>
      </w:pPr>
    </w:p>
    <w:p w14:paraId="4B0561F7">
      <w:pPr>
        <w:autoSpaceDE w:val="0"/>
        <w:autoSpaceDN w:val="0"/>
        <w:adjustRightInd w:val="0"/>
        <w:jc w:val="center"/>
        <w:rPr>
          <w:rFonts w:hint="eastAsia" w:ascii="宋体" w:hAnsi="宋体" w:cs="宋体"/>
          <w:b/>
          <w:bCs/>
          <w:color w:val="000000"/>
          <w:sz w:val="28"/>
          <w:szCs w:val="28"/>
          <w:lang w:val="zh-CN"/>
        </w:rPr>
      </w:pPr>
    </w:p>
    <w:p w14:paraId="288C1E3E">
      <w:pPr>
        <w:autoSpaceDE w:val="0"/>
        <w:autoSpaceDN w:val="0"/>
        <w:adjustRightInd w:val="0"/>
        <w:jc w:val="center"/>
        <w:rPr>
          <w:rFonts w:hint="eastAsia" w:ascii="宋体" w:hAnsi="宋体" w:cs="宋体"/>
          <w:b/>
          <w:bCs/>
          <w:color w:val="000000"/>
          <w:sz w:val="28"/>
          <w:szCs w:val="28"/>
          <w:lang w:val="zh-CN"/>
        </w:rPr>
      </w:pPr>
    </w:p>
    <w:p w14:paraId="2270FE60">
      <w:pPr>
        <w:autoSpaceDE w:val="0"/>
        <w:autoSpaceDN w:val="0"/>
        <w:adjustRightInd w:val="0"/>
        <w:jc w:val="center"/>
        <w:rPr>
          <w:rFonts w:hint="eastAsia" w:ascii="宋体" w:hAnsi="宋体" w:cs="宋体"/>
          <w:b/>
          <w:bCs/>
          <w:color w:val="000000"/>
          <w:sz w:val="28"/>
          <w:szCs w:val="28"/>
          <w:lang w:val="zh-CN"/>
        </w:rPr>
      </w:pPr>
    </w:p>
    <w:p w14:paraId="63DB7826">
      <w:pPr>
        <w:autoSpaceDE w:val="0"/>
        <w:autoSpaceDN w:val="0"/>
        <w:adjustRightInd w:val="0"/>
        <w:jc w:val="center"/>
        <w:rPr>
          <w:rFonts w:hint="eastAsia" w:ascii="宋体" w:hAnsi="宋体" w:cs="宋体"/>
          <w:b/>
          <w:bCs/>
          <w:color w:val="000000"/>
          <w:sz w:val="28"/>
          <w:szCs w:val="28"/>
          <w:lang w:val="zh-CN"/>
        </w:rPr>
      </w:pPr>
    </w:p>
    <w:p w14:paraId="759D2A62">
      <w:pPr>
        <w:autoSpaceDE w:val="0"/>
        <w:autoSpaceDN w:val="0"/>
        <w:adjustRightInd w:val="0"/>
        <w:jc w:val="center"/>
        <w:rPr>
          <w:rFonts w:hint="eastAsia" w:ascii="宋体" w:hAnsi="宋体" w:cs="宋体"/>
          <w:b/>
          <w:bCs/>
          <w:color w:val="000000"/>
          <w:sz w:val="28"/>
          <w:szCs w:val="28"/>
          <w:lang w:val="zh-CN"/>
        </w:rPr>
      </w:pPr>
    </w:p>
    <w:p w14:paraId="296FF6FA">
      <w:pPr>
        <w:autoSpaceDE w:val="0"/>
        <w:autoSpaceDN w:val="0"/>
        <w:adjustRightInd w:val="0"/>
        <w:jc w:val="center"/>
        <w:rPr>
          <w:rFonts w:hint="eastAsia" w:ascii="宋体" w:hAnsi="宋体" w:cs="宋体"/>
          <w:b/>
          <w:bCs/>
          <w:color w:val="000000"/>
          <w:sz w:val="28"/>
          <w:szCs w:val="28"/>
          <w:lang w:val="zh-CN"/>
        </w:rPr>
      </w:pPr>
    </w:p>
    <w:p w14:paraId="47629496">
      <w:pPr>
        <w:autoSpaceDE w:val="0"/>
        <w:autoSpaceDN w:val="0"/>
        <w:adjustRightInd w:val="0"/>
        <w:jc w:val="center"/>
        <w:rPr>
          <w:rFonts w:hint="eastAsia" w:ascii="宋体" w:hAnsi="宋体" w:cs="宋体"/>
          <w:b/>
          <w:bCs/>
          <w:color w:val="000000"/>
          <w:sz w:val="28"/>
          <w:szCs w:val="28"/>
          <w:lang w:val="zh-CN"/>
        </w:rPr>
      </w:pPr>
    </w:p>
    <w:p w14:paraId="2BEB0813">
      <w:pPr>
        <w:autoSpaceDE w:val="0"/>
        <w:autoSpaceDN w:val="0"/>
        <w:adjustRightInd w:val="0"/>
        <w:jc w:val="center"/>
        <w:rPr>
          <w:rFonts w:hint="eastAsia" w:ascii="宋体" w:hAnsi="宋体" w:cs="宋体"/>
          <w:b/>
          <w:bCs/>
          <w:color w:val="000000"/>
          <w:sz w:val="28"/>
          <w:szCs w:val="28"/>
          <w:lang w:val="zh-CN"/>
        </w:rPr>
      </w:pPr>
    </w:p>
    <w:p w14:paraId="72A1829D">
      <w:pPr>
        <w:autoSpaceDE w:val="0"/>
        <w:autoSpaceDN w:val="0"/>
        <w:adjustRightInd w:val="0"/>
        <w:jc w:val="center"/>
        <w:rPr>
          <w:rFonts w:hint="eastAsia" w:ascii="宋体" w:hAnsi="宋体" w:cs="宋体"/>
          <w:b/>
          <w:bCs/>
          <w:color w:val="000000"/>
          <w:sz w:val="28"/>
          <w:szCs w:val="28"/>
          <w:lang w:val="zh-CN"/>
        </w:rPr>
      </w:pPr>
    </w:p>
    <w:p w14:paraId="391CA657">
      <w:pPr>
        <w:pStyle w:val="3"/>
        <w:rPr>
          <w:rFonts w:hint="eastAsia" w:ascii="宋体" w:hAnsi="宋体" w:cs="宋体"/>
          <w:color w:val="000000"/>
          <w:sz w:val="28"/>
          <w:szCs w:val="28"/>
          <w:lang w:val="zh-CN"/>
        </w:rPr>
      </w:pPr>
    </w:p>
    <w:p w14:paraId="1B262143">
      <w:pPr>
        <w:rPr>
          <w:rFonts w:hint="eastAsia" w:ascii="宋体" w:hAnsi="宋体" w:cs="宋体"/>
          <w:b/>
          <w:bCs/>
          <w:color w:val="000000"/>
          <w:sz w:val="28"/>
          <w:szCs w:val="28"/>
          <w:lang w:val="zh-CN"/>
        </w:rPr>
      </w:pPr>
    </w:p>
    <w:p w14:paraId="20D6D006">
      <w:pPr>
        <w:autoSpaceDE w:val="0"/>
        <w:autoSpaceDN w:val="0"/>
        <w:adjustRightInd w:val="0"/>
        <w:jc w:val="center"/>
        <w:rPr>
          <w:rFonts w:hint="eastAsia" w:ascii="宋体" w:hAnsi="宋体" w:cs="宋体"/>
          <w:b/>
          <w:bCs/>
          <w:color w:val="000000"/>
          <w:sz w:val="28"/>
          <w:szCs w:val="28"/>
          <w:lang w:val="zh-CN"/>
        </w:rPr>
      </w:pPr>
    </w:p>
    <w:p w14:paraId="6BF730FF">
      <w:pPr>
        <w:spacing w:before="274" w:line="225" w:lineRule="auto"/>
        <w:jc w:val="center"/>
        <w:rPr>
          <w:rFonts w:hint="eastAsia" w:ascii="宋体" w:hAnsi="宋体" w:cs="宋体"/>
          <w:sz w:val="28"/>
          <w:szCs w:val="28"/>
        </w:rPr>
      </w:pPr>
      <w:r>
        <w:rPr>
          <w:rFonts w:hint="eastAsia" w:ascii="宋体" w:hAnsi="宋体" w:cs="宋体"/>
          <w:spacing w:val="10"/>
          <w:sz w:val="28"/>
          <w:szCs w:val="28"/>
          <w14:textOutline w14:w="5791" w14:cap="sq" w14:cmpd="sng" w14:algn="ctr">
            <w14:solidFill>
              <w14:srgbClr w14:val="000000"/>
            </w14:solidFill>
            <w14:prstDash w14:val="solid"/>
            <w14:bevel/>
          </w14:textOutline>
        </w:rPr>
        <w:t>资格审查文件索引表</w:t>
      </w:r>
    </w:p>
    <w:p w14:paraId="051F9708">
      <w:pPr>
        <w:spacing w:line="260" w:lineRule="auto"/>
        <w:rPr>
          <w:rFonts w:ascii="Arial"/>
        </w:rPr>
      </w:pPr>
    </w:p>
    <w:p w14:paraId="27F1D311">
      <w:pPr>
        <w:spacing w:line="400" w:lineRule="exact"/>
        <w:rPr>
          <w:rFonts w:hint="eastAsia" w:ascii="宋体" w:hAnsi="宋体" w:cs="宋体"/>
          <w:bCs/>
          <w:sz w:val="24"/>
          <w:szCs w:val="24"/>
        </w:rPr>
      </w:pPr>
      <w:r>
        <w:rPr>
          <w:rFonts w:hint="eastAsia" w:ascii="宋体" w:hAnsi="宋体" w:cs="宋体"/>
          <w:bCs/>
          <w:sz w:val="24"/>
          <w:szCs w:val="24"/>
        </w:rPr>
        <w:t>投标供应商务必在资格审查文件部分前制作本索引表。</w:t>
      </w:r>
    </w:p>
    <w:tbl>
      <w:tblPr>
        <w:tblStyle w:val="21"/>
        <w:tblW w:w="5000" w:type="pct"/>
        <w:jc w:val="center"/>
        <w:tblLayout w:type="fixed"/>
        <w:tblCellMar>
          <w:top w:w="0" w:type="dxa"/>
          <w:left w:w="108" w:type="dxa"/>
          <w:bottom w:w="0" w:type="dxa"/>
          <w:right w:w="108" w:type="dxa"/>
        </w:tblCellMar>
      </w:tblPr>
      <w:tblGrid>
        <w:gridCol w:w="850"/>
        <w:gridCol w:w="7379"/>
        <w:gridCol w:w="1734"/>
      </w:tblGrid>
      <w:tr w14:paraId="2B083FC9">
        <w:tblPrEx>
          <w:tblCellMar>
            <w:top w:w="0" w:type="dxa"/>
            <w:left w:w="108" w:type="dxa"/>
            <w:bottom w:w="0" w:type="dxa"/>
            <w:right w:w="108" w:type="dxa"/>
          </w:tblCellMar>
        </w:tblPrEx>
        <w:trPr>
          <w:trHeight w:val="549" w:hRule="atLeast"/>
          <w:jc w:val="center"/>
        </w:trPr>
        <w:tc>
          <w:tcPr>
            <w:tcW w:w="427" w:type="pct"/>
            <w:vMerge w:val="restart"/>
            <w:tcBorders>
              <w:top w:val="single" w:color="auto" w:sz="4" w:space="0"/>
              <w:left w:val="single" w:color="auto" w:sz="4" w:space="0"/>
              <w:right w:val="single" w:color="auto" w:sz="4" w:space="0"/>
            </w:tcBorders>
            <w:vAlign w:val="center"/>
          </w:tcPr>
          <w:p w14:paraId="033AFFC2">
            <w:pPr>
              <w:jc w:val="center"/>
              <w:rPr>
                <w:rFonts w:hint="eastAsia" w:ascii="宋体" w:hAnsi="宋体" w:cs="宋体"/>
                <w:bCs/>
                <w:sz w:val="24"/>
                <w:szCs w:val="24"/>
              </w:rPr>
            </w:pPr>
            <w:r>
              <w:rPr>
                <w:rFonts w:hint="eastAsia" w:ascii="宋体" w:hAnsi="宋体" w:cs="宋体"/>
                <w:bCs/>
                <w:sz w:val="24"/>
                <w:szCs w:val="24"/>
              </w:rPr>
              <w:t>序号</w:t>
            </w:r>
          </w:p>
        </w:tc>
        <w:tc>
          <w:tcPr>
            <w:tcW w:w="3703" w:type="pct"/>
            <w:vMerge w:val="restart"/>
            <w:tcBorders>
              <w:top w:val="single" w:color="auto" w:sz="4" w:space="0"/>
              <w:left w:val="nil"/>
              <w:right w:val="single" w:color="auto" w:sz="4" w:space="0"/>
            </w:tcBorders>
            <w:vAlign w:val="center"/>
          </w:tcPr>
          <w:p w14:paraId="09725B05">
            <w:pPr>
              <w:jc w:val="center"/>
              <w:rPr>
                <w:rFonts w:hint="eastAsia" w:ascii="宋体" w:hAnsi="宋体" w:cs="宋体"/>
                <w:bCs/>
                <w:sz w:val="24"/>
                <w:szCs w:val="24"/>
              </w:rPr>
            </w:pPr>
            <w:r>
              <w:rPr>
                <w:rFonts w:hint="eastAsia" w:ascii="宋体" w:hAnsi="宋体" w:cs="宋体"/>
                <w:bCs/>
                <w:sz w:val="24"/>
                <w:szCs w:val="24"/>
              </w:rPr>
              <w:t>资格性审查项目</w:t>
            </w:r>
          </w:p>
        </w:tc>
        <w:tc>
          <w:tcPr>
            <w:tcW w:w="869" w:type="pct"/>
            <w:vMerge w:val="restart"/>
            <w:tcBorders>
              <w:top w:val="single" w:color="auto" w:sz="4" w:space="0"/>
              <w:left w:val="nil"/>
              <w:right w:val="single" w:color="auto" w:sz="4" w:space="0"/>
            </w:tcBorders>
            <w:vAlign w:val="center"/>
          </w:tcPr>
          <w:p w14:paraId="031A8260">
            <w:pPr>
              <w:jc w:val="center"/>
              <w:rPr>
                <w:rFonts w:hint="eastAsia" w:ascii="宋体" w:hAnsi="宋体" w:cs="宋体"/>
                <w:bCs/>
                <w:sz w:val="24"/>
                <w:szCs w:val="24"/>
              </w:rPr>
            </w:pPr>
            <w:r>
              <w:rPr>
                <w:rFonts w:hint="eastAsia" w:ascii="宋体" w:hAnsi="宋体" w:cs="宋体"/>
                <w:bCs/>
                <w:sz w:val="24"/>
                <w:szCs w:val="24"/>
              </w:rPr>
              <w:t>资格证明文件位置页码</w:t>
            </w:r>
          </w:p>
        </w:tc>
      </w:tr>
      <w:tr w14:paraId="7543A01D">
        <w:tblPrEx>
          <w:tblCellMar>
            <w:top w:w="0" w:type="dxa"/>
            <w:left w:w="108" w:type="dxa"/>
            <w:bottom w:w="0" w:type="dxa"/>
            <w:right w:w="108" w:type="dxa"/>
          </w:tblCellMar>
        </w:tblPrEx>
        <w:trPr>
          <w:trHeight w:val="311" w:hRule="atLeast"/>
          <w:jc w:val="center"/>
        </w:trPr>
        <w:tc>
          <w:tcPr>
            <w:tcW w:w="427" w:type="pct"/>
            <w:vMerge w:val="continue"/>
            <w:tcBorders>
              <w:left w:val="single" w:color="auto" w:sz="4" w:space="0"/>
              <w:bottom w:val="single" w:color="auto" w:sz="4" w:space="0"/>
              <w:right w:val="single" w:color="auto" w:sz="4" w:space="0"/>
            </w:tcBorders>
            <w:vAlign w:val="center"/>
          </w:tcPr>
          <w:p w14:paraId="7683BEF7">
            <w:pPr>
              <w:jc w:val="center"/>
              <w:rPr>
                <w:rFonts w:hint="eastAsia" w:ascii="宋体" w:hAnsi="宋体" w:cs="宋体"/>
                <w:bCs/>
                <w:sz w:val="24"/>
                <w:szCs w:val="24"/>
              </w:rPr>
            </w:pPr>
          </w:p>
        </w:tc>
        <w:tc>
          <w:tcPr>
            <w:tcW w:w="3703" w:type="pct"/>
            <w:vMerge w:val="continue"/>
            <w:tcBorders>
              <w:left w:val="nil"/>
              <w:bottom w:val="single" w:color="auto" w:sz="4" w:space="0"/>
              <w:right w:val="single" w:color="auto" w:sz="4" w:space="0"/>
            </w:tcBorders>
            <w:vAlign w:val="center"/>
          </w:tcPr>
          <w:p w14:paraId="3741F57A">
            <w:pPr>
              <w:jc w:val="center"/>
              <w:rPr>
                <w:rFonts w:hint="eastAsia" w:ascii="宋体" w:hAnsi="宋体" w:cs="宋体"/>
                <w:bCs/>
                <w:sz w:val="24"/>
                <w:szCs w:val="24"/>
              </w:rPr>
            </w:pPr>
          </w:p>
        </w:tc>
        <w:tc>
          <w:tcPr>
            <w:tcW w:w="869" w:type="pct"/>
            <w:vMerge w:val="continue"/>
            <w:tcBorders>
              <w:left w:val="nil"/>
              <w:bottom w:val="single" w:color="auto" w:sz="4" w:space="0"/>
              <w:right w:val="single" w:color="auto" w:sz="4" w:space="0"/>
            </w:tcBorders>
            <w:vAlign w:val="center"/>
          </w:tcPr>
          <w:p w14:paraId="78732AF3">
            <w:pPr>
              <w:jc w:val="center"/>
              <w:rPr>
                <w:rFonts w:hint="eastAsia" w:ascii="宋体" w:hAnsi="宋体" w:cs="宋体"/>
                <w:bCs/>
                <w:sz w:val="24"/>
                <w:szCs w:val="24"/>
              </w:rPr>
            </w:pPr>
          </w:p>
        </w:tc>
      </w:tr>
      <w:tr w14:paraId="1B0DD688">
        <w:tblPrEx>
          <w:tblCellMar>
            <w:top w:w="0" w:type="dxa"/>
            <w:left w:w="108" w:type="dxa"/>
            <w:bottom w:w="0" w:type="dxa"/>
            <w:right w:w="108" w:type="dxa"/>
          </w:tblCellMar>
        </w:tblPrEx>
        <w:trPr>
          <w:trHeight w:val="836" w:hRule="exact"/>
          <w:jc w:val="center"/>
        </w:trPr>
        <w:tc>
          <w:tcPr>
            <w:tcW w:w="427" w:type="pct"/>
            <w:tcBorders>
              <w:top w:val="nil"/>
              <w:left w:val="single" w:color="auto" w:sz="4" w:space="0"/>
              <w:bottom w:val="single" w:color="auto" w:sz="4" w:space="0"/>
              <w:right w:val="single" w:color="auto" w:sz="4" w:space="0"/>
            </w:tcBorders>
            <w:vAlign w:val="center"/>
          </w:tcPr>
          <w:p w14:paraId="3E6271D8">
            <w:pPr>
              <w:jc w:val="center"/>
              <w:rPr>
                <w:rFonts w:hint="eastAsia" w:ascii="宋体" w:hAnsi="宋体" w:cs="宋体"/>
                <w:bCs/>
                <w:sz w:val="24"/>
                <w:szCs w:val="24"/>
              </w:rPr>
            </w:pPr>
            <w:r>
              <w:rPr>
                <w:rFonts w:hint="eastAsia" w:ascii="宋体" w:hAnsi="宋体" w:cs="宋体"/>
                <w:bCs/>
                <w:sz w:val="24"/>
                <w:szCs w:val="24"/>
              </w:rPr>
              <w:t>1</w:t>
            </w:r>
          </w:p>
        </w:tc>
        <w:tc>
          <w:tcPr>
            <w:tcW w:w="3703" w:type="pct"/>
            <w:tcBorders>
              <w:top w:val="nil"/>
              <w:left w:val="nil"/>
              <w:bottom w:val="single" w:color="auto" w:sz="4" w:space="0"/>
              <w:right w:val="single" w:color="auto" w:sz="4" w:space="0"/>
            </w:tcBorders>
            <w:vAlign w:val="center"/>
          </w:tcPr>
          <w:p w14:paraId="61B6484E">
            <w:pPr>
              <w:jc w:val="center"/>
              <w:rPr>
                <w:rFonts w:hint="eastAsia" w:ascii="宋体" w:hAnsi="宋体" w:cs="宋体"/>
                <w:bCs/>
                <w:sz w:val="24"/>
                <w:szCs w:val="24"/>
              </w:rPr>
            </w:pPr>
          </w:p>
        </w:tc>
        <w:tc>
          <w:tcPr>
            <w:tcW w:w="869" w:type="pct"/>
            <w:tcBorders>
              <w:top w:val="nil"/>
              <w:left w:val="nil"/>
              <w:bottom w:val="single" w:color="auto" w:sz="4" w:space="0"/>
              <w:right w:val="single" w:color="auto" w:sz="4" w:space="0"/>
            </w:tcBorders>
            <w:vAlign w:val="center"/>
          </w:tcPr>
          <w:p w14:paraId="2900B433">
            <w:pPr>
              <w:jc w:val="center"/>
              <w:rPr>
                <w:rFonts w:hint="eastAsia" w:ascii="宋体" w:hAnsi="宋体" w:cs="宋体"/>
                <w:bCs/>
                <w:sz w:val="24"/>
                <w:szCs w:val="24"/>
              </w:rPr>
            </w:pPr>
          </w:p>
        </w:tc>
      </w:tr>
      <w:tr w14:paraId="003BE317">
        <w:tblPrEx>
          <w:tblCellMar>
            <w:top w:w="0" w:type="dxa"/>
            <w:left w:w="108" w:type="dxa"/>
            <w:bottom w:w="0" w:type="dxa"/>
            <w:right w:w="108" w:type="dxa"/>
          </w:tblCellMar>
        </w:tblPrEx>
        <w:trPr>
          <w:trHeight w:val="836" w:hRule="exact"/>
          <w:jc w:val="center"/>
        </w:trPr>
        <w:tc>
          <w:tcPr>
            <w:tcW w:w="427" w:type="pct"/>
            <w:tcBorders>
              <w:top w:val="nil"/>
              <w:left w:val="single" w:color="auto" w:sz="4" w:space="0"/>
              <w:bottom w:val="single" w:color="auto" w:sz="4" w:space="0"/>
              <w:right w:val="single" w:color="auto" w:sz="4" w:space="0"/>
            </w:tcBorders>
            <w:vAlign w:val="center"/>
          </w:tcPr>
          <w:p w14:paraId="7CEBD640">
            <w:pPr>
              <w:jc w:val="center"/>
              <w:rPr>
                <w:rFonts w:hint="eastAsia" w:ascii="宋体" w:hAnsi="宋体" w:cs="宋体"/>
                <w:bCs/>
                <w:sz w:val="24"/>
                <w:szCs w:val="24"/>
              </w:rPr>
            </w:pPr>
            <w:r>
              <w:rPr>
                <w:rFonts w:hint="eastAsia" w:ascii="宋体" w:hAnsi="宋体" w:cs="宋体"/>
                <w:bCs/>
                <w:sz w:val="24"/>
                <w:szCs w:val="24"/>
              </w:rPr>
              <w:t>2</w:t>
            </w:r>
          </w:p>
        </w:tc>
        <w:tc>
          <w:tcPr>
            <w:tcW w:w="3703" w:type="pct"/>
            <w:tcBorders>
              <w:top w:val="nil"/>
              <w:left w:val="nil"/>
              <w:bottom w:val="single" w:color="auto" w:sz="4" w:space="0"/>
              <w:right w:val="single" w:color="auto" w:sz="4" w:space="0"/>
            </w:tcBorders>
            <w:vAlign w:val="center"/>
          </w:tcPr>
          <w:p w14:paraId="7E8753F3">
            <w:pPr>
              <w:jc w:val="center"/>
              <w:rPr>
                <w:rFonts w:hint="eastAsia" w:ascii="宋体" w:hAnsi="宋体" w:cs="宋体"/>
                <w:bCs/>
                <w:sz w:val="24"/>
                <w:szCs w:val="24"/>
              </w:rPr>
            </w:pPr>
          </w:p>
        </w:tc>
        <w:tc>
          <w:tcPr>
            <w:tcW w:w="869" w:type="pct"/>
            <w:tcBorders>
              <w:top w:val="nil"/>
              <w:left w:val="nil"/>
              <w:bottom w:val="single" w:color="auto" w:sz="4" w:space="0"/>
              <w:right w:val="single" w:color="auto" w:sz="4" w:space="0"/>
            </w:tcBorders>
            <w:vAlign w:val="center"/>
          </w:tcPr>
          <w:p w14:paraId="28AC977A">
            <w:pPr>
              <w:jc w:val="center"/>
              <w:rPr>
                <w:rFonts w:hint="eastAsia" w:ascii="宋体" w:hAnsi="宋体" w:cs="宋体"/>
                <w:bCs/>
                <w:sz w:val="24"/>
                <w:szCs w:val="24"/>
              </w:rPr>
            </w:pPr>
          </w:p>
        </w:tc>
      </w:tr>
      <w:tr w14:paraId="054BE6F7">
        <w:tblPrEx>
          <w:tblCellMar>
            <w:top w:w="0" w:type="dxa"/>
            <w:left w:w="108" w:type="dxa"/>
            <w:bottom w:w="0" w:type="dxa"/>
            <w:right w:w="108" w:type="dxa"/>
          </w:tblCellMar>
        </w:tblPrEx>
        <w:trPr>
          <w:trHeight w:val="836" w:hRule="exact"/>
          <w:jc w:val="center"/>
        </w:trPr>
        <w:tc>
          <w:tcPr>
            <w:tcW w:w="427" w:type="pct"/>
            <w:tcBorders>
              <w:top w:val="nil"/>
              <w:left w:val="single" w:color="auto" w:sz="4" w:space="0"/>
              <w:bottom w:val="single" w:color="auto" w:sz="4" w:space="0"/>
              <w:right w:val="single" w:color="auto" w:sz="4" w:space="0"/>
            </w:tcBorders>
            <w:vAlign w:val="center"/>
          </w:tcPr>
          <w:p w14:paraId="14838C93">
            <w:pPr>
              <w:jc w:val="center"/>
              <w:rPr>
                <w:rFonts w:hint="eastAsia" w:ascii="宋体" w:hAnsi="宋体" w:cs="宋体"/>
                <w:bCs/>
                <w:sz w:val="24"/>
                <w:szCs w:val="24"/>
              </w:rPr>
            </w:pPr>
            <w:r>
              <w:rPr>
                <w:rFonts w:hint="eastAsia" w:ascii="宋体" w:hAnsi="宋体" w:cs="宋体"/>
                <w:bCs/>
                <w:sz w:val="24"/>
                <w:szCs w:val="24"/>
              </w:rPr>
              <w:t>3</w:t>
            </w:r>
          </w:p>
        </w:tc>
        <w:tc>
          <w:tcPr>
            <w:tcW w:w="3703" w:type="pct"/>
            <w:tcBorders>
              <w:top w:val="nil"/>
              <w:left w:val="nil"/>
              <w:bottom w:val="single" w:color="auto" w:sz="4" w:space="0"/>
              <w:right w:val="single" w:color="auto" w:sz="4" w:space="0"/>
            </w:tcBorders>
            <w:vAlign w:val="center"/>
          </w:tcPr>
          <w:p w14:paraId="15B4A51E">
            <w:pPr>
              <w:jc w:val="center"/>
              <w:rPr>
                <w:rFonts w:hint="eastAsia" w:ascii="宋体" w:hAnsi="宋体" w:cs="宋体"/>
                <w:bCs/>
                <w:sz w:val="24"/>
                <w:szCs w:val="24"/>
              </w:rPr>
            </w:pPr>
          </w:p>
        </w:tc>
        <w:tc>
          <w:tcPr>
            <w:tcW w:w="869" w:type="pct"/>
            <w:tcBorders>
              <w:top w:val="nil"/>
              <w:left w:val="nil"/>
              <w:bottom w:val="single" w:color="auto" w:sz="4" w:space="0"/>
              <w:right w:val="single" w:color="auto" w:sz="4" w:space="0"/>
            </w:tcBorders>
            <w:vAlign w:val="center"/>
          </w:tcPr>
          <w:p w14:paraId="4E2F3D35">
            <w:pPr>
              <w:jc w:val="center"/>
              <w:rPr>
                <w:rFonts w:hint="eastAsia" w:ascii="宋体" w:hAnsi="宋体" w:cs="宋体"/>
                <w:bCs/>
                <w:sz w:val="24"/>
                <w:szCs w:val="24"/>
              </w:rPr>
            </w:pPr>
          </w:p>
        </w:tc>
      </w:tr>
      <w:tr w14:paraId="28C3E2ED">
        <w:tblPrEx>
          <w:tblCellMar>
            <w:top w:w="0" w:type="dxa"/>
            <w:left w:w="108" w:type="dxa"/>
            <w:bottom w:w="0" w:type="dxa"/>
            <w:right w:w="108" w:type="dxa"/>
          </w:tblCellMar>
        </w:tblPrEx>
        <w:trPr>
          <w:trHeight w:val="836" w:hRule="exact"/>
          <w:jc w:val="center"/>
        </w:trPr>
        <w:tc>
          <w:tcPr>
            <w:tcW w:w="427" w:type="pct"/>
            <w:tcBorders>
              <w:top w:val="nil"/>
              <w:left w:val="single" w:color="auto" w:sz="4" w:space="0"/>
              <w:bottom w:val="single" w:color="auto" w:sz="4" w:space="0"/>
              <w:right w:val="single" w:color="auto" w:sz="4" w:space="0"/>
            </w:tcBorders>
            <w:vAlign w:val="center"/>
          </w:tcPr>
          <w:p w14:paraId="4BE84D13">
            <w:pPr>
              <w:jc w:val="center"/>
              <w:rPr>
                <w:rFonts w:hint="eastAsia" w:ascii="宋体" w:hAnsi="宋体" w:cs="宋体"/>
                <w:bCs/>
                <w:sz w:val="24"/>
                <w:szCs w:val="24"/>
              </w:rPr>
            </w:pPr>
            <w:r>
              <w:rPr>
                <w:rFonts w:hint="eastAsia" w:ascii="宋体" w:hAnsi="宋体" w:cs="宋体"/>
                <w:bCs/>
                <w:sz w:val="24"/>
                <w:szCs w:val="24"/>
              </w:rPr>
              <w:t>4</w:t>
            </w:r>
          </w:p>
        </w:tc>
        <w:tc>
          <w:tcPr>
            <w:tcW w:w="3703" w:type="pct"/>
            <w:tcBorders>
              <w:top w:val="nil"/>
              <w:left w:val="nil"/>
              <w:bottom w:val="single" w:color="auto" w:sz="4" w:space="0"/>
              <w:right w:val="single" w:color="auto" w:sz="4" w:space="0"/>
            </w:tcBorders>
            <w:vAlign w:val="center"/>
          </w:tcPr>
          <w:p w14:paraId="29E1A659">
            <w:pPr>
              <w:jc w:val="center"/>
              <w:rPr>
                <w:rFonts w:hint="eastAsia" w:ascii="宋体" w:hAnsi="宋体" w:cs="宋体"/>
                <w:bCs/>
                <w:sz w:val="24"/>
                <w:szCs w:val="24"/>
              </w:rPr>
            </w:pPr>
          </w:p>
        </w:tc>
        <w:tc>
          <w:tcPr>
            <w:tcW w:w="869" w:type="pct"/>
            <w:tcBorders>
              <w:top w:val="nil"/>
              <w:left w:val="nil"/>
              <w:bottom w:val="single" w:color="auto" w:sz="4" w:space="0"/>
              <w:right w:val="single" w:color="auto" w:sz="4" w:space="0"/>
            </w:tcBorders>
            <w:vAlign w:val="center"/>
          </w:tcPr>
          <w:p w14:paraId="50B77302">
            <w:pPr>
              <w:jc w:val="center"/>
              <w:rPr>
                <w:rFonts w:hint="eastAsia" w:ascii="宋体" w:hAnsi="宋体" w:cs="宋体"/>
                <w:bCs/>
                <w:sz w:val="24"/>
                <w:szCs w:val="24"/>
              </w:rPr>
            </w:pPr>
          </w:p>
        </w:tc>
      </w:tr>
      <w:tr w14:paraId="224A028D">
        <w:tblPrEx>
          <w:tblCellMar>
            <w:top w:w="0" w:type="dxa"/>
            <w:left w:w="108" w:type="dxa"/>
            <w:bottom w:w="0" w:type="dxa"/>
            <w:right w:w="108" w:type="dxa"/>
          </w:tblCellMar>
        </w:tblPrEx>
        <w:trPr>
          <w:trHeight w:val="836" w:hRule="exact"/>
          <w:jc w:val="center"/>
        </w:trPr>
        <w:tc>
          <w:tcPr>
            <w:tcW w:w="427" w:type="pct"/>
            <w:tcBorders>
              <w:top w:val="nil"/>
              <w:left w:val="single" w:color="auto" w:sz="4" w:space="0"/>
              <w:bottom w:val="single" w:color="auto" w:sz="4" w:space="0"/>
              <w:right w:val="single" w:color="auto" w:sz="4" w:space="0"/>
            </w:tcBorders>
            <w:vAlign w:val="center"/>
          </w:tcPr>
          <w:p w14:paraId="7DE577B5">
            <w:pPr>
              <w:jc w:val="center"/>
              <w:rPr>
                <w:rFonts w:hint="eastAsia" w:ascii="宋体" w:hAnsi="宋体" w:cs="宋体"/>
                <w:bCs/>
                <w:sz w:val="24"/>
                <w:szCs w:val="24"/>
              </w:rPr>
            </w:pPr>
            <w:r>
              <w:rPr>
                <w:rFonts w:hint="eastAsia" w:ascii="宋体" w:hAnsi="宋体" w:cs="宋体"/>
                <w:bCs/>
                <w:sz w:val="24"/>
                <w:szCs w:val="24"/>
              </w:rPr>
              <w:t>5</w:t>
            </w:r>
          </w:p>
        </w:tc>
        <w:tc>
          <w:tcPr>
            <w:tcW w:w="3703" w:type="pct"/>
            <w:tcBorders>
              <w:top w:val="nil"/>
              <w:left w:val="nil"/>
              <w:bottom w:val="single" w:color="auto" w:sz="4" w:space="0"/>
              <w:right w:val="single" w:color="auto" w:sz="4" w:space="0"/>
            </w:tcBorders>
            <w:vAlign w:val="center"/>
          </w:tcPr>
          <w:p w14:paraId="672E643F">
            <w:pPr>
              <w:jc w:val="center"/>
              <w:rPr>
                <w:rFonts w:hint="eastAsia" w:ascii="宋体" w:hAnsi="宋体" w:cs="宋体"/>
                <w:bCs/>
                <w:sz w:val="24"/>
                <w:szCs w:val="24"/>
              </w:rPr>
            </w:pPr>
            <w:r>
              <w:rPr>
                <w:rFonts w:hint="eastAsia" w:ascii="宋体" w:hAnsi="宋体" w:cs="宋体"/>
                <w:bCs/>
                <w:sz w:val="24"/>
                <w:szCs w:val="24"/>
              </w:rPr>
              <w:t>……</w:t>
            </w:r>
          </w:p>
        </w:tc>
        <w:tc>
          <w:tcPr>
            <w:tcW w:w="869" w:type="pct"/>
            <w:tcBorders>
              <w:top w:val="nil"/>
              <w:left w:val="nil"/>
              <w:bottom w:val="single" w:color="auto" w:sz="4" w:space="0"/>
              <w:right w:val="single" w:color="auto" w:sz="4" w:space="0"/>
            </w:tcBorders>
            <w:vAlign w:val="center"/>
          </w:tcPr>
          <w:p w14:paraId="79C8AAB6">
            <w:pPr>
              <w:jc w:val="center"/>
              <w:rPr>
                <w:rFonts w:hint="eastAsia" w:ascii="宋体" w:hAnsi="宋体" w:cs="宋体"/>
                <w:bCs/>
                <w:sz w:val="24"/>
                <w:szCs w:val="24"/>
              </w:rPr>
            </w:pPr>
          </w:p>
        </w:tc>
      </w:tr>
      <w:tr w14:paraId="5395F0A3">
        <w:tblPrEx>
          <w:tblCellMar>
            <w:top w:w="0" w:type="dxa"/>
            <w:left w:w="108" w:type="dxa"/>
            <w:bottom w:w="0" w:type="dxa"/>
            <w:right w:w="108" w:type="dxa"/>
          </w:tblCellMar>
        </w:tblPrEx>
        <w:trPr>
          <w:trHeight w:val="836" w:hRule="exact"/>
          <w:jc w:val="center"/>
        </w:trPr>
        <w:tc>
          <w:tcPr>
            <w:tcW w:w="427" w:type="pct"/>
            <w:tcBorders>
              <w:top w:val="single" w:color="auto" w:sz="4" w:space="0"/>
              <w:left w:val="single" w:color="auto" w:sz="4" w:space="0"/>
              <w:bottom w:val="single" w:color="auto" w:sz="4" w:space="0"/>
              <w:right w:val="single" w:color="auto" w:sz="4" w:space="0"/>
            </w:tcBorders>
            <w:vAlign w:val="center"/>
          </w:tcPr>
          <w:p w14:paraId="0C50AD93">
            <w:pPr>
              <w:jc w:val="center"/>
              <w:rPr>
                <w:rFonts w:hint="eastAsia" w:ascii="宋体" w:hAnsi="宋体" w:cs="宋体"/>
                <w:bCs/>
                <w:sz w:val="24"/>
                <w:szCs w:val="24"/>
              </w:rPr>
            </w:pPr>
          </w:p>
        </w:tc>
        <w:tc>
          <w:tcPr>
            <w:tcW w:w="3703" w:type="pct"/>
            <w:tcBorders>
              <w:top w:val="single" w:color="auto" w:sz="4" w:space="0"/>
              <w:left w:val="nil"/>
              <w:bottom w:val="single" w:color="auto" w:sz="4" w:space="0"/>
              <w:right w:val="single" w:color="auto" w:sz="4" w:space="0"/>
            </w:tcBorders>
            <w:vAlign w:val="center"/>
          </w:tcPr>
          <w:p w14:paraId="0E1F856C">
            <w:pPr>
              <w:jc w:val="center"/>
              <w:rPr>
                <w:rFonts w:hint="eastAsia" w:ascii="宋体" w:hAnsi="宋体" w:cs="宋体"/>
                <w:bCs/>
                <w:sz w:val="24"/>
                <w:szCs w:val="24"/>
              </w:rPr>
            </w:pPr>
          </w:p>
        </w:tc>
        <w:tc>
          <w:tcPr>
            <w:tcW w:w="869" w:type="pct"/>
            <w:tcBorders>
              <w:top w:val="single" w:color="auto" w:sz="4" w:space="0"/>
              <w:left w:val="nil"/>
              <w:bottom w:val="single" w:color="auto" w:sz="4" w:space="0"/>
              <w:right w:val="single" w:color="auto" w:sz="4" w:space="0"/>
            </w:tcBorders>
            <w:vAlign w:val="center"/>
          </w:tcPr>
          <w:p w14:paraId="6A4E295E">
            <w:pPr>
              <w:jc w:val="center"/>
              <w:rPr>
                <w:rFonts w:hint="eastAsia" w:ascii="宋体" w:hAnsi="宋体" w:cs="宋体"/>
                <w:bCs/>
                <w:sz w:val="24"/>
                <w:szCs w:val="24"/>
              </w:rPr>
            </w:pPr>
          </w:p>
        </w:tc>
      </w:tr>
      <w:tr w14:paraId="0A4F6B69">
        <w:tblPrEx>
          <w:tblCellMar>
            <w:top w:w="0" w:type="dxa"/>
            <w:left w:w="108" w:type="dxa"/>
            <w:bottom w:w="0" w:type="dxa"/>
            <w:right w:w="108" w:type="dxa"/>
          </w:tblCellMar>
        </w:tblPrEx>
        <w:trPr>
          <w:trHeight w:val="836" w:hRule="exact"/>
          <w:jc w:val="center"/>
        </w:trPr>
        <w:tc>
          <w:tcPr>
            <w:tcW w:w="427" w:type="pct"/>
            <w:tcBorders>
              <w:top w:val="single" w:color="auto" w:sz="4" w:space="0"/>
              <w:left w:val="single" w:color="auto" w:sz="4" w:space="0"/>
              <w:bottom w:val="single" w:color="auto" w:sz="4" w:space="0"/>
              <w:right w:val="single" w:color="auto" w:sz="4" w:space="0"/>
            </w:tcBorders>
            <w:vAlign w:val="center"/>
          </w:tcPr>
          <w:p w14:paraId="3A3D6FDD">
            <w:pPr>
              <w:jc w:val="center"/>
              <w:rPr>
                <w:rFonts w:hint="eastAsia" w:ascii="宋体" w:hAnsi="宋体" w:cs="宋体"/>
                <w:bCs/>
                <w:sz w:val="24"/>
                <w:szCs w:val="24"/>
              </w:rPr>
            </w:pPr>
          </w:p>
        </w:tc>
        <w:tc>
          <w:tcPr>
            <w:tcW w:w="3703" w:type="pct"/>
            <w:tcBorders>
              <w:top w:val="single" w:color="auto" w:sz="4" w:space="0"/>
              <w:left w:val="nil"/>
              <w:bottom w:val="single" w:color="auto" w:sz="4" w:space="0"/>
              <w:right w:val="single" w:color="auto" w:sz="4" w:space="0"/>
            </w:tcBorders>
            <w:vAlign w:val="center"/>
          </w:tcPr>
          <w:p w14:paraId="61F9322C">
            <w:pPr>
              <w:jc w:val="center"/>
              <w:rPr>
                <w:rFonts w:hint="eastAsia" w:ascii="宋体" w:hAnsi="宋体" w:cs="宋体"/>
                <w:bCs/>
                <w:sz w:val="24"/>
                <w:szCs w:val="24"/>
              </w:rPr>
            </w:pPr>
          </w:p>
        </w:tc>
        <w:tc>
          <w:tcPr>
            <w:tcW w:w="869" w:type="pct"/>
            <w:tcBorders>
              <w:top w:val="single" w:color="auto" w:sz="4" w:space="0"/>
              <w:left w:val="nil"/>
              <w:bottom w:val="single" w:color="auto" w:sz="4" w:space="0"/>
              <w:right w:val="single" w:color="auto" w:sz="4" w:space="0"/>
            </w:tcBorders>
            <w:vAlign w:val="center"/>
          </w:tcPr>
          <w:p w14:paraId="3006A75D">
            <w:pPr>
              <w:jc w:val="center"/>
              <w:rPr>
                <w:rFonts w:hint="eastAsia" w:ascii="宋体" w:hAnsi="宋体" w:cs="宋体"/>
                <w:bCs/>
                <w:sz w:val="24"/>
                <w:szCs w:val="24"/>
              </w:rPr>
            </w:pPr>
          </w:p>
        </w:tc>
      </w:tr>
      <w:tr w14:paraId="37D76AF0">
        <w:tblPrEx>
          <w:tblCellMar>
            <w:top w:w="0" w:type="dxa"/>
            <w:left w:w="108" w:type="dxa"/>
            <w:bottom w:w="0" w:type="dxa"/>
            <w:right w:w="108" w:type="dxa"/>
          </w:tblCellMar>
        </w:tblPrEx>
        <w:trPr>
          <w:trHeight w:val="836" w:hRule="exact"/>
          <w:jc w:val="center"/>
        </w:trPr>
        <w:tc>
          <w:tcPr>
            <w:tcW w:w="427" w:type="pct"/>
            <w:tcBorders>
              <w:top w:val="single" w:color="auto" w:sz="4" w:space="0"/>
              <w:left w:val="single" w:color="auto" w:sz="4" w:space="0"/>
              <w:bottom w:val="single" w:color="auto" w:sz="4" w:space="0"/>
              <w:right w:val="single" w:color="auto" w:sz="4" w:space="0"/>
            </w:tcBorders>
            <w:vAlign w:val="center"/>
          </w:tcPr>
          <w:p w14:paraId="23D85FB5">
            <w:pPr>
              <w:jc w:val="center"/>
              <w:rPr>
                <w:rFonts w:hint="eastAsia" w:ascii="宋体" w:hAnsi="宋体" w:cs="宋体"/>
                <w:bCs/>
                <w:sz w:val="24"/>
                <w:szCs w:val="24"/>
              </w:rPr>
            </w:pPr>
          </w:p>
        </w:tc>
        <w:tc>
          <w:tcPr>
            <w:tcW w:w="3703" w:type="pct"/>
            <w:tcBorders>
              <w:top w:val="single" w:color="auto" w:sz="4" w:space="0"/>
              <w:left w:val="single" w:color="auto" w:sz="4" w:space="0"/>
              <w:bottom w:val="single" w:color="auto" w:sz="4" w:space="0"/>
              <w:right w:val="single" w:color="auto" w:sz="4" w:space="0"/>
            </w:tcBorders>
            <w:vAlign w:val="center"/>
          </w:tcPr>
          <w:p w14:paraId="3EDC5DF3">
            <w:pPr>
              <w:jc w:val="center"/>
              <w:rPr>
                <w:rFonts w:hint="eastAsia" w:ascii="宋体" w:hAnsi="宋体" w:cs="宋体"/>
                <w:bCs/>
                <w:sz w:val="24"/>
                <w:szCs w:val="24"/>
              </w:rPr>
            </w:pPr>
          </w:p>
        </w:tc>
        <w:tc>
          <w:tcPr>
            <w:tcW w:w="869" w:type="pct"/>
            <w:tcBorders>
              <w:top w:val="single" w:color="auto" w:sz="4" w:space="0"/>
              <w:left w:val="single" w:color="auto" w:sz="4" w:space="0"/>
              <w:bottom w:val="single" w:color="auto" w:sz="4" w:space="0"/>
              <w:right w:val="single" w:color="auto" w:sz="4" w:space="0"/>
            </w:tcBorders>
            <w:vAlign w:val="center"/>
          </w:tcPr>
          <w:p w14:paraId="270CF9C9">
            <w:pPr>
              <w:jc w:val="center"/>
              <w:rPr>
                <w:rFonts w:hint="eastAsia" w:ascii="宋体" w:hAnsi="宋体" w:cs="宋体"/>
                <w:bCs/>
                <w:sz w:val="24"/>
                <w:szCs w:val="24"/>
              </w:rPr>
            </w:pPr>
          </w:p>
        </w:tc>
      </w:tr>
      <w:tr w14:paraId="2B67B3EB">
        <w:tblPrEx>
          <w:tblCellMar>
            <w:top w:w="0" w:type="dxa"/>
            <w:left w:w="108" w:type="dxa"/>
            <w:bottom w:w="0" w:type="dxa"/>
            <w:right w:w="108" w:type="dxa"/>
          </w:tblCellMar>
        </w:tblPrEx>
        <w:trPr>
          <w:trHeight w:val="836" w:hRule="exact"/>
          <w:jc w:val="center"/>
        </w:trPr>
        <w:tc>
          <w:tcPr>
            <w:tcW w:w="427" w:type="pct"/>
            <w:tcBorders>
              <w:top w:val="single" w:color="auto" w:sz="4" w:space="0"/>
              <w:left w:val="single" w:color="auto" w:sz="4" w:space="0"/>
              <w:bottom w:val="single" w:color="auto" w:sz="4" w:space="0"/>
              <w:right w:val="single" w:color="auto" w:sz="4" w:space="0"/>
            </w:tcBorders>
            <w:vAlign w:val="center"/>
          </w:tcPr>
          <w:p w14:paraId="5E2E47A3">
            <w:pPr>
              <w:jc w:val="center"/>
              <w:rPr>
                <w:rFonts w:hint="eastAsia" w:ascii="宋体" w:hAnsi="宋体" w:cs="宋体"/>
                <w:bCs/>
                <w:sz w:val="24"/>
                <w:szCs w:val="24"/>
              </w:rPr>
            </w:pPr>
          </w:p>
        </w:tc>
        <w:tc>
          <w:tcPr>
            <w:tcW w:w="3703" w:type="pct"/>
            <w:tcBorders>
              <w:top w:val="single" w:color="auto" w:sz="4" w:space="0"/>
              <w:left w:val="single" w:color="auto" w:sz="4" w:space="0"/>
              <w:bottom w:val="single" w:color="auto" w:sz="4" w:space="0"/>
              <w:right w:val="single" w:color="auto" w:sz="4" w:space="0"/>
            </w:tcBorders>
            <w:vAlign w:val="center"/>
          </w:tcPr>
          <w:p w14:paraId="307F18E0">
            <w:pPr>
              <w:jc w:val="center"/>
              <w:rPr>
                <w:rFonts w:hint="eastAsia" w:ascii="宋体" w:hAnsi="宋体" w:cs="宋体"/>
                <w:bCs/>
                <w:sz w:val="24"/>
                <w:szCs w:val="24"/>
              </w:rPr>
            </w:pPr>
          </w:p>
        </w:tc>
        <w:tc>
          <w:tcPr>
            <w:tcW w:w="869" w:type="pct"/>
            <w:tcBorders>
              <w:top w:val="single" w:color="auto" w:sz="4" w:space="0"/>
              <w:left w:val="single" w:color="auto" w:sz="4" w:space="0"/>
              <w:bottom w:val="single" w:color="auto" w:sz="4" w:space="0"/>
              <w:right w:val="single" w:color="auto" w:sz="4" w:space="0"/>
            </w:tcBorders>
            <w:vAlign w:val="center"/>
          </w:tcPr>
          <w:p w14:paraId="16EA08FE">
            <w:pPr>
              <w:jc w:val="center"/>
              <w:rPr>
                <w:rFonts w:hint="eastAsia" w:ascii="宋体" w:hAnsi="宋体" w:cs="宋体"/>
                <w:bCs/>
                <w:sz w:val="24"/>
                <w:szCs w:val="24"/>
              </w:rPr>
            </w:pPr>
          </w:p>
        </w:tc>
      </w:tr>
      <w:tr w14:paraId="708D79AA">
        <w:tblPrEx>
          <w:tblCellMar>
            <w:top w:w="0" w:type="dxa"/>
            <w:left w:w="108" w:type="dxa"/>
            <w:bottom w:w="0" w:type="dxa"/>
            <w:right w:w="108" w:type="dxa"/>
          </w:tblCellMar>
        </w:tblPrEx>
        <w:trPr>
          <w:trHeight w:val="836" w:hRule="exact"/>
          <w:jc w:val="center"/>
        </w:trPr>
        <w:tc>
          <w:tcPr>
            <w:tcW w:w="427" w:type="pct"/>
            <w:tcBorders>
              <w:top w:val="single" w:color="auto" w:sz="4" w:space="0"/>
              <w:left w:val="single" w:color="auto" w:sz="4" w:space="0"/>
              <w:bottom w:val="single" w:color="auto" w:sz="4" w:space="0"/>
              <w:right w:val="single" w:color="auto" w:sz="4" w:space="0"/>
            </w:tcBorders>
            <w:vAlign w:val="center"/>
          </w:tcPr>
          <w:p w14:paraId="446E0853">
            <w:pPr>
              <w:jc w:val="center"/>
              <w:rPr>
                <w:rFonts w:hint="eastAsia" w:ascii="宋体" w:hAnsi="宋体" w:cs="宋体"/>
                <w:bCs/>
                <w:sz w:val="24"/>
                <w:szCs w:val="24"/>
              </w:rPr>
            </w:pPr>
          </w:p>
        </w:tc>
        <w:tc>
          <w:tcPr>
            <w:tcW w:w="3703" w:type="pct"/>
            <w:tcBorders>
              <w:top w:val="single" w:color="auto" w:sz="4" w:space="0"/>
              <w:left w:val="single" w:color="auto" w:sz="4" w:space="0"/>
              <w:bottom w:val="single" w:color="auto" w:sz="4" w:space="0"/>
              <w:right w:val="single" w:color="auto" w:sz="4" w:space="0"/>
            </w:tcBorders>
            <w:vAlign w:val="center"/>
          </w:tcPr>
          <w:p w14:paraId="4C423CB5">
            <w:pPr>
              <w:jc w:val="center"/>
              <w:rPr>
                <w:rFonts w:hint="eastAsia" w:ascii="宋体" w:hAnsi="宋体" w:cs="宋体"/>
                <w:bCs/>
                <w:sz w:val="24"/>
                <w:szCs w:val="24"/>
              </w:rPr>
            </w:pPr>
          </w:p>
        </w:tc>
        <w:tc>
          <w:tcPr>
            <w:tcW w:w="869" w:type="pct"/>
            <w:tcBorders>
              <w:top w:val="single" w:color="auto" w:sz="4" w:space="0"/>
              <w:left w:val="single" w:color="auto" w:sz="4" w:space="0"/>
              <w:bottom w:val="single" w:color="auto" w:sz="4" w:space="0"/>
              <w:right w:val="single" w:color="auto" w:sz="4" w:space="0"/>
            </w:tcBorders>
            <w:vAlign w:val="center"/>
          </w:tcPr>
          <w:p w14:paraId="241FBC74">
            <w:pPr>
              <w:jc w:val="center"/>
              <w:rPr>
                <w:rFonts w:hint="eastAsia" w:ascii="宋体" w:hAnsi="宋体" w:cs="宋体"/>
                <w:bCs/>
                <w:sz w:val="24"/>
                <w:szCs w:val="24"/>
              </w:rPr>
            </w:pPr>
          </w:p>
        </w:tc>
      </w:tr>
      <w:tr w14:paraId="78B49F72">
        <w:tblPrEx>
          <w:tblCellMar>
            <w:top w:w="0" w:type="dxa"/>
            <w:left w:w="108" w:type="dxa"/>
            <w:bottom w:w="0" w:type="dxa"/>
            <w:right w:w="108" w:type="dxa"/>
          </w:tblCellMar>
        </w:tblPrEx>
        <w:trPr>
          <w:trHeight w:val="1772" w:hRule="exact"/>
          <w:jc w:val="center"/>
        </w:trPr>
        <w:tc>
          <w:tcPr>
            <w:tcW w:w="5000" w:type="pct"/>
            <w:gridSpan w:val="3"/>
            <w:tcBorders>
              <w:top w:val="single" w:color="auto" w:sz="4" w:space="0"/>
              <w:left w:val="single" w:color="auto" w:sz="4" w:space="0"/>
              <w:bottom w:val="single" w:color="auto" w:sz="4" w:space="0"/>
              <w:right w:val="single" w:color="auto" w:sz="4" w:space="0"/>
            </w:tcBorders>
            <w:vAlign w:val="center"/>
          </w:tcPr>
          <w:p w14:paraId="7E81728E">
            <w:pPr>
              <w:rPr>
                <w:rFonts w:hint="eastAsia" w:ascii="宋体" w:hAnsi="宋体" w:cs="宋体"/>
                <w:sz w:val="24"/>
                <w:szCs w:val="24"/>
              </w:rPr>
            </w:pPr>
            <w:r>
              <w:rPr>
                <w:rFonts w:hint="eastAsia" w:ascii="宋体" w:hAnsi="宋体" w:cs="宋体"/>
                <w:sz w:val="24"/>
                <w:szCs w:val="24"/>
              </w:rPr>
              <w:t>备注：</w:t>
            </w:r>
          </w:p>
          <w:p w14:paraId="47149EE8">
            <w:pPr>
              <w:rPr>
                <w:rFonts w:hint="eastAsia" w:ascii="宋体" w:hAnsi="宋体" w:cs="宋体"/>
                <w:sz w:val="24"/>
                <w:szCs w:val="24"/>
              </w:rPr>
            </w:pPr>
            <w:r>
              <w:rPr>
                <w:rFonts w:hint="eastAsia" w:ascii="宋体" w:hAnsi="宋体" w:cs="宋体"/>
                <w:sz w:val="24"/>
                <w:szCs w:val="24"/>
              </w:rPr>
              <w:t>1.投标供应商按照《资格性审查表》编制此表。</w:t>
            </w:r>
          </w:p>
          <w:p w14:paraId="7D2104B7">
            <w:pPr>
              <w:rPr>
                <w:rFonts w:hint="eastAsia" w:ascii="宋体" w:hAnsi="宋体" w:cs="宋体"/>
                <w:sz w:val="24"/>
                <w:szCs w:val="24"/>
              </w:rPr>
            </w:pPr>
            <w:r>
              <w:rPr>
                <w:rFonts w:hint="eastAsia" w:ascii="宋体" w:hAnsi="宋体" w:cs="宋体"/>
                <w:sz w:val="24"/>
                <w:szCs w:val="24"/>
              </w:rPr>
              <w:t>2.投标供应商应当根据本单位实际情况和投标文件内容填写，并标注相关证明材料在资格证明文件的位置页码。</w:t>
            </w:r>
          </w:p>
          <w:p w14:paraId="76BEE9E5">
            <w:pPr>
              <w:numPr>
                <w:ilvl w:val="0"/>
                <w:numId w:val="6"/>
              </w:numPr>
              <w:rPr>
                <w:rFonts w:hint="eastAsia" w:ascii="宋体" w:hAnsi="宋体" w:cs="宋体"/>
                <w:sz w:val="24"/>
                <w:szCs w:val="24"/>
              </w:rPr>
            </w:pPr>
            <w:r>
              <w:rPr>
                <w:rFonts w:hint="eastAsia" w:ascii="宋体" w:hAnsi="宋体" w:cs="宋体"/>
                <w:sz w:val="24"/>
                <w:szCs w:val="24"/>
              </w:rPr>
              <w:t>投标供应商不得虚报、瞒报、漏报或虚假承诺。</w:t>
            </w:r>
          </w:p>
          <w:p w14:paraId="151FFB7E">
            <w:pPr>
              <w:pStyle w:val="3"/>
            </w:pPr>
          </w:p>
          <w:p w14:paraId="06FFC9A6">
            <w:pPr>
              <w:pStyle w:val="3"/>
            </w:pPr>
            <w:r>
              <w:rPr>
                <w:rFonts w:hint="eastAsia"/>
              </w:rPr>
              <w:t>4</w:t>
            </w:r>
          </w:p>
          <w:p w14:paraId="1DE7939D"/>
          <w:p w14:paraId="5816AB40">
            <w:pPr>
              <w:pStyle w:val="3"/>
            </w:pPr>
          </w:p>
        </w:tc>
      </w:tr>
    </w:tbl>
    <w:p w14:paraId="4455D984">
      <w:pPr>
        <w:spacing w:line="260" w:lineRule="auto"/>
        <w:rPr>
          <w:rFonts w:ascii="Arial"/>
        </w:rPr>
      </w:pPr>
    </w:p>
    <w:p w14:paraId="2C867598">
      <w:pPr>
        <w:spacing w:line="260" w:lineRule="auto"/>
        <w:rPr>
          <w:rFonts w:ascii="Arial"/>
        </w:rPr>
      </w:pPr>
    </w:p>
    <w:p w14:paraId="3D5A1D7D">
      <w:pPr>
        <w:pStyle w:val="3"/>
      </w:pPr>
    </w:p>
    <w:p w14:paraId="452A1303">
      <w:pPr>
        <w:spacing w:line="260" w:lineRule="auto"/>
        <w:rPr>
          <w:rFonts w:ascii="Arial"/>
        </w:rPr>
      </w:pPr>
    </w:p>
    <w:p w14:paraId="7A282251">
      <w:pPr>
        <w:spacing w:before="91" w:line="468" w:lineRule="exact"/>
        <w:jc w:val="center"/>
        <w:outlineLvl w:val="2"/>
        <w:rPr>
          <w:rFonts w:hint="eastAsia" w:ascii="宋体" w:hAnsi="宋体" w:cs="宋体"/>
          <w:sz w:val="28"/>
          <w:szCs w:val="28"/>
        </w:rPr>
      </w:pPr>
      <w:r>
        <w:rPr>
          <w:rFonts w:hint="eastAsia" w:ascii="宋体" w:hAnsi="宋体" w:cs="宋体"/>
          <w:spacing w:val="-1"/>
          <w:position w:val="2"/>
          <w:sz w:val="28"/>
          <w:szCs w:val="28"/>
          <w14:textOutline w14:w="5105" w14:cap="sq" w14:cmpd="sng" w14:algn="ctr">
            <w14:solidFill>
              <w14:srgbClr w14:val="000000"/>
            </w14:solidFill>
            <w14:prstDash w14:val="solid"/>
            <w14:bevel/>
          </w14:textOutline>
        </w:rPr>
        <w:t>一、</w:t>
      </w:r>
      <w:r>
        <w:rPr>
          <w:rFonts w:ascii="宋体" w:hAnsi="宋体" w:cs="宋体"/>
          <w:spacing w:val="-1"/>
          <w:position w:val="2"/>
          <w:sz w:val="28"/>
          <w:szCs w:val="28"/>
          <w14:textOutline w14:w="5105" w14:cap="sq" w14:cmpd="sng" w14:algn="ctr">
            <w14:solidFill>
              <w14:srgbClr w14:val="000000"/>
            </w14:solidFill>
            <w14:prstDash w14:val="solid"/>
            <w14:bevel/>
          </w14:textOutline>
        </w:rPr>
        <w:t>投标人</w:t>
      </w:r>
      <w:r>
        <w:rPr>
          <w:rFonts w:ascii="宋体" w:hAnsi="宋体" w:cs="宋体"/>
          <w:position w:val="2"/>
          <w:sz w:val="28"/>
          <w:szCs w:val="28"/>
          <w14:textOutline w14:w="5105" w14:cap="sq" w14:cmpd="sng" w14:algn="ctr">
            <w14:solidFill>
              <w14:srgbClr w14:val="000000"/>
            </w14:solidFill>
            <w14:prstDash w14:val="solid"/>
            <w14:bevel/>
          </w14:textOutline>
        </w:rPr>
        <w:t>基本情况表</w:t>
      </w:r>
    </w:p>
    <w:p w14:paraId="70B98186">
      <w:pPr>
        <w:spacing w:line="33" w:lineRule="exact"/>
      </w:pPr>
    </w:p>
    <w:tbl>
      <w:tblPr>
        <w:tblStyle w:val="78"/>
        <w:tblW w:w="5000" w:type="pct"/>
        <w:tblInd w:w="0"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autofit"/>
        <w:tblCellMar>
          <w:top w:w="0" w:type="dxa"/>
          <w:left w:w="0" w:type="dxa"/>
          <w:bottom w:w="0" w:type="dxa"/>
          <w:right w:w="0" w:type="dxa"/>
        </w:tblCellMar>
      </w:tblPr>
      <w:tblGrid>
        <w:gridCol w:w="2412"/>
        <w:gridCol w:w="1194"/>
        <w:gridCol w:w="1501"/>
        <w:gridCol w:w="299"/>
        <w:gridCol w:w="903"/>
        <w:gridCol w:w="1198"/>
        <w:gridCol w:w="751"/>
        <w:gridCol w:w="448"/>
        <w:gridCol w:w="1067"/>
      </w:tblGrid>
      <w:tr w14:paraId="0FA76F8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PrEx>
        <w:trPr>
          <w:trHeight w:val="649" w:hRule="atLeast"/>
        </w:trPr>
        <w:tc>
          <w:tcPr>
            <w:tcW w:w="5000" w:type="pct"/>
            <w:gridSpan w:val="9"/>
            <w:tcBorders>
              <w:left w:val="single" w:color="000000" w:sz="10" w:space="0"/>
              <w:right w:val="single" w:color="000000" w:sz="10" w:space="0"/>
            </w:tcBorders>
            <w:shd w:val="clear" w:color="auto" w:fill="F1F1F1"/>
          </w:tcPr>
          <w:p w14:paraId="17AAD483">
            <w:pPr>
              <w:spacing w:before="258" w:line="227" w:lineRule="auto"/>
              <w:ind w:left="3888"/>
              <w:rPr>
                <w:rFonts w:hint="eastAsia" w:ascii="宋体" w:hAnsi="宋体" w:cs="宋体"/>
                <w:sz w:val="24"/>
                <w:szCs w:val="24"/>
              </w:rPr>
            </w:pPr>
            <w:r>
              <w:rPr>
                <w:rFonts w:hint="eastAsia" w:ascii="宋体" w:hAnsi="宋体" w:cs="宋体"/>
                <w:spacing w:val="8"/>
                <w:sz w:val="24"/>
                <w:szCs w:val="24"/>
              </w:rPr>
              <w:t>单位基本情况</w:t>
            </w:r>
          </w:p>
        </w:tc>
      </w:tr>
      <w:tr w14:paraId="74783DC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27" w:hRule="atLeast"/>
        </w:trPr>
        <w:tc>
          <w:tcPr>
            <w:tcW w:w="1234" w:type="pct"/>
            <w:tcBorders>
              <w:left w:val="single" w:color="000000" w:sz="10" w:space="0"/>
              <w:right w:val="single" w:color="000000" w:sz="4" w:space="0"/>
            </w:tcBorders>
          </w:tcPr>
          <w:p w14:paraId="256F0C0D">
            <w:pPr>
              <w:spacing w:before="192" w:line="228" w:lineRule="auto"/>
              <w:ind w:left="536"/>
              <w:rPr>
                <w:rFonts w:hint="eastAsia" w:ascii="宋体" w:hAnsi="宋体" w:cs="宋体"/>
                <w:sz w:val="24"/>
                <w:szCs w:val="24"/>
              </w:rPr>
            </w:pPr>
            <w:r>
              <w:rPr>
                <w:rFonts w:hint="eastAsia" w:ascii="宋体" w:hAnsi="宋体" w:cs="宋体"/>
                <w:spacing w:val="9"/>
                <w:sz w:val="24"/>
                <w:szCs w:val="24"/>
              </w:rPr>
              <w:t>投</w:t>
            </w:r>
            <w:r>
              <w:rPr>
                <w:rFonts w:hint="eastAsia" w:ascii="宋体" w:hAnsi="宋体" w:cs="宋体"/>
                <w:spacing w:val="7"/>
                <w:sz w:val="24"/>
                <w:szCs w:val="24"/>
              </w:rPr>
              <w:t>标人名称</w:t>
            </w:r>
          </w:p>
        </w:tc>
        <w:tc>
          <w:tcPr>
            <w:tcW w:w="3765" w:type="pct"/>
            <w:gridSpan w:val="8"/>
            <w:tcBorders>
              <w:left w:val="single" w:color="000000" w:sz="4" w:space="0"/>
              <w:right w:val="single" w:color="000000" w:sz="10" w:space="0"/>
            </w:tcBorders>
          </w:tcPr>
          <w:p w14:paraId="302E1F6C">
            <w:pPr>
              <w:rPr>
                <w:rFonts w:hint="eastAsia" w:ascii="宋体" w:hAnsi="宋体" w:cs="宋体"/>
                <w:sz w:val="24"/>
                <w:szCs w:val="24"/>
              </w:rPr>
            </w:pPr>
          </w:p>
        </w:tc>
      </w:tr>
      <w:tr w14:paraId="0F887B6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07" w:hRule="atLeast"/>
        </w:trPr>
        <w:tc>
          <w:tcPr>
            <w:tcW w:w="1234" w:type="pct"/>
            <w:tcBorders>
              <w:left w:val="single" w:color="000000" w:sz="10" w:space="0"/>
              <w:right w:val="single" w:color="000000" w:sz="4" w:space="0"/>
            </w:tcBorders>
          </w:tcPr>
          <w:p w14:paraId="43E63F47">
            <w:pPr>
              <w:spacing w:before="232" w:line="229" w:lineRule="auto"/>
              <w:ind w:left="179"/>
              <w:rPr>
                <w:rFonts w:hint="eastAsia" w:ascii="宋体" w:hAnsi="宋体" w:cs="宋体"/>
                <w:sz w:val="24"/>
                <w:szCs w:val="24"/>
              </w:rPr>
            </w:pPr>
            <w:r>
              <w:rPr>
                <w:rFonts w:hint="eastAsia" w:ascii="宋体" w:hAnsi="宋体" w:cs="宋体"/>
                <w:spacing w:val="8"/>
                <w:sz w:val="24"/>
                <w:szCs w:val="24"/>
              </w:rPr>
              <w:t>统一社会信用代码</w:t>
            </w:r>
          </w:p>
        </w:tc>
        <w:tc>
          <w:tcPr>
            <w:tcW w:w="1994" w:type="pct"/>
            <w:gridSpan w:val="4"/>
            <w:tcBorders>
              <w:left w:val="single" w:color="000000" w:sz="4" w:space="0"/>
              <w:right w:val="single" w:color="000000" w:sz="4" w:space="0"/>
            </w:tcBorders>
          </w:tcPr>
          <w:p w14:paraId="73164DBF">
            <w:pPr>
              <w:rPr>
                <w:rFonts w:hint="eastAsia" w:ascii="宋体" w:hAnsi="宋体" w:cs="宋体"/>
                <w:sz w:val="24"/>
                <w:szCs w:val="24"/>
              </w:rPr>
            </w:pPr>
          </w:p>
        </w:tc>
        <w:tc>
          <w:tcPr>
            <w:tcW w:w="997" w:type="pct"/>
            <w:gridSpan w:val="2"/>
            <w:tcBorders>
              <w:left w:val="single" w:color="000000" w:sz="4" w:space="0"/>
              <w:right w:val="single" w:color="000000" w:sz="4" w:space="0"/>
            </w:tcBorders>
          </w:tcPr>
          <w:p w14:paraId="39B1991D">
            <w:pPr>
              <w:spacing w:before="277" w:line="229" w:lineRule="auto"/>
              <w:ind w:left="451"/>
              <w:rPr>
                <w:rFonts w:hint="eastAsia" w:ascii="宋体" w:hAnsi="宋体" w:cs="宋体"/>
                <w:sz w:val="24"/>
                <w:szCs w:val="24"/>
              </w:rPr>
            </w:pPr>
            <w:r>
              <w:rPr>
                <w:rFonts w:hint="eastAsia" w:ascii="宋体" w:hAnsi="宋体" w:cs="宋体"/>
                <w:spacing w:val="7"/>
                <w:sz w:val="24"/>
                <w:szCs w:val="24"/>
              </w:rPr>
              <w:t>成立时间</w:t>
            </w:r>
          </w:p>
        </w:tc>
        <w:tc>
          <w:tcPr>
            <w:tcW w:w="774" w:type="pct"/>
            <w:gridSpan w:val="2"/>
            <w:tcBorders>
              <w:left w:val="single" w:color="000000" w:sz="4" w:space="0"/>
              <w:right w:val="single" w:color="000000" w:sz="10" w:space="0"/>
            </w:tcBorders>
          </w:tcPr>
          <w:p w14:paraId="6D4BC9C5">
            <w:pPr>
              <w:rPr>
                <w:rFonts w:hint="eastAsia" w:ascii="宋体" w:hAnsi="宋体" w:cs="宋体"/>
                <w:sz w:val="24"/>
                <w:szCs w:val="24"/>
              </w:rPr>
            </w:pPr>
          </w:p>
        </w:tc>
      </w:tr>
      <w:tr w14:paraId="7263AC9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02" w:hRule="atLeast"/>
        </w:trPr>
        <w:tc>
          <w:tcPr>
            <w:tcW w:w="1234" w:type="pct"/>
            <w:tcBorders>
              <w:left w:val="single" w:color="000000" w:sz="10" w:space="0"/>
              <w:right w:val="single" w:color="000000" w:sz="4" w:space="0"/>
            </w:tcBorders>
          </w:tcPr>
          <w:p w14:paraId="01F333E7">
            <w:pPr>
              <w:spacing w:before="230" w:line="229" w:lineRule="auto"/>
              <w:ind w:left="653"/>
              <w:rPr>
                <w:rFonts w:hint="eastAsia" w:ascii="宋体" w:hAnsi="宋体" w:cs="宋体"/>
                <w:sz w:val="24"/>
                <w:szCs w:val="24"/>
              </w:rPr>
            </w:pPr>
            <w:r>
              <w:rPr>
                <w:rFonts w:hint="eastAsia" w:ascii="宋体" w:hAnsi="宋体" w:cs="宋体"/>
                <w:spacing w:val="9"/>
                <w:sz w:val="24"/>
                <w:szCs w:val="24"/>
              </w:rPr>
              <w:t>注</w:t>
            </w:r>
            <w:r>
              <w:rPr>
                <w:rFonts w:hint="eastAsia" w:ascii="宋体" w:hAnsi="宋体" w:cs="宋体"/>
                <w:spacing w:val="7"/>
                <w:sz w:val="24"/>
                <w:szCs w:val="24"/>
              </w:rPr>
              <w:t>册地址</w:t>
            </w:r>
          </w:p>
        </w:tc>
        <w:tc>
          <w:tcPr>
            <w:tcW w:w="1994" w:type="pct"/>
            <w:gridSpan w:val="4"/>
            <w:tcBorders>
              <w:left w:val="single" w:color="000000" w:sz="4" w:space="0"/>
              <w:right w:val="single" w:color="000000" w:sz="4" w:space="0"/>
            </w:tcBorders>
          </w:tcPr>
          <w:p w14:paraId="6A1AE6B4">
            <w:pPr>
              <w:rPr>
                <w:rFonts w:hint="eastAsia" w:ascii="宋体" w:hAnsi="宋体" w:cs="宋体"/>
                <w:sz w:val="24"/>
                <w:szCs w:val="24"/>
              </w:rPr>
            </w:pPr>
          </w:p>
        </w:tc>
        <w:tc>
          <w:tcPr>
            <w:tcW w:w="997" w:type="pct"/>
            <w:gridSpan w:val="2"/>
            <w:tcBorders>
              <w:left w:val="single" w:color="000000" w:sz="4" w:space="0"/>
              <w:right w:val="single" w:color="000000" w:sz="4" w:space="0"/>
            </w:tcBorders>
          </w:tcPr>
          <w:p w14:paraId="251173AB">
            <w:pPr>
              <w:spacing w:before="277" w:line="227" w:lineRule="auto"/>
              <w:ind w:left="459"/>
              <w:rPr>
                <w:rFonts w:hint="eastAsia" w:ascii="宋体" w:hAnsi="宋体" w:cs="宋体"/>
                <w:sz w:val="24"/>
                <w:szCs w:val="24"/>
              </w:rPr>
            </w:pPr>
            <w:r>
              <w:rPr>
                <w:rFonts w:hint="eastAsia" w:ascii="宋体" w:hAnsi="宋体" w:cs="宋体"/>
                <w:spacing w:val="5"/>
                <w:sz w:val="24"/>
                <w:szCs w:val="24"/>
              </w:rPr>
              <w:t>资产总额</w:t>
            </w:r>
          </w:p>
        </w:tc>
        <w:tc>
          <w:tcPr>
            <w:tcW w:w="774" w:type="pct"/>
            <w:gridSpan w:val="2"/>
            <w:tcBorders>
              <w:left w:val="single" w:color="000000" w:sz="4" w:space="0"/>
              <w:right w:val="single" w:color="000000" w:sz="10" w:space="0"/>
            </w:tcBorders>
          </w:tcPr>
          <w:p w14:paraId="298F1D4C">
            <w:pPr>
              <w:rPr>
                <w:rFonts w:hint="eastAsia" w:ascii="宋体" w:hAnsi="宋体" w:cs="宋体"/>
                <w:sz w:val="24"/>
                <w:szCs w:val="24"/>
              </w:rPr>
            </w:pPr>
          </w:p>
        </w:tc>
      </w:tr>
      <w:tr w14:paraId="7E63BC5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58" w:hRule="atLeast"/>
        </w:trPr>
        <w:tc>
          <w:tcPr>
            <w:tcW w:w="1234" w:type="pct"/>
            <w:tcBorders>
              <w:left w:val="single" w:color="000000" w:sz="10" w:space="0"/>
              <w:right w:val="single" w:color="000000" w:sz="4" w:space="0"/>
            </w:tcBorders>
          </w:tcPr>
          <w:p w14:paraId="74E14810">
            <w:pPr>
              <w:spacing w:before="160" w:line="227" w:lineRule="auto"/>
              <w:ind w:left="295"/>
              <w:rPr>
                <w:rFonts w:hint="eastAsia" w:ascii="宋体" w:hAnsi="宋体" w:cs="宋体"/>
                <w:sz w:val="24"/>
                <w:szCs w:val="24"/>
              </w:rPr>
            </w:pPr>
            <w:r>
              <w:rPr>
                <w:rFonts w:hint="eastAsia" w:ascii="宋体" w:hAnsi="宋体" w:cs="宋体"/>
                <w:spacing w:val="10"/>
                <w:sz w:val="24"/>
                <w:szCs w:val="24"/>
              </w:rPr>
              <w:t>上</w:t>
            </w:r>
            <w:r>
              <w:rPr>
                <w:rFonts w:hint="eastAsia" w:ascii="宋体" w:hAnsi="宋体" w:cs="宋体"/>
                <w:spacing w:val="8"/>
                <w:sz w:val="24"/>
                <w:szCs w:val="24"/>
              </w:rPr>
              <w:t>年度营业收入</w:t>
            </w:r>
          </w:p>
        </w:tc>
        <w:tc>
          <w:tcPr>
            <w:tcW w:w="1994" w:type="pct"/>
            <w:gridSpan w:val="4"/>
            <w:tcBorders>
              <w:left w:val="single" w:color="000000" w:sz="4" w:space="0"/>
              <w:right w:val="single" w:color="000000" w:sz="4" w:space="0"/>
            </w:tcBorders>
          </w:tcPr>
          <w:p w14:paraId="01968FF8">
            <w:pPr>
              <w:rPr>
                <w:rFonts w:hint="eastAsia" w:ascii="宋体" w:hAnsi="宋体" w:cs="宋体"/>
                <w:sz w:val="24"/>
                <w:szCs w:val="24"/>
              </w:rPr>
            </w:pPr>
          </w:p>
        </w:tc>
        <w:tc>
          <w:tcPr>
            <w:tcW w:w="997" w:type="pct"/>
            <w:gridSpan w:val="2"/>
            <w:tcBorders>
              <w:left w:val="single" w:color="000000" w:sz="4" w:space="0"/>
              <w:right w:val="single" w:color="000000" w:sz="4" w:space="0"/>
            </w:tcBorders>
          </w:tcPr>
          <w:p w14:paraId="081DBDD7">
            <w:pPr>
              <w:spacing w:before="205" w:line="228" w:lineRule="auto"/>
              <w:ind w:left="449"/>
              <w:rPr>
                <w:rFonts w:hint="eastAsia" w:ascii="宋体" w:hAnsi="宋体" w:cs="宋体"/>
                <w:sz w:val="24"/>
                <w:szCs w:val="24"/>
              </w:rPr>
            </w:pPr>
            <w:r>
              <w:rPr>
                <w:rFonts w:hint="eastAsia" w:ascii="宋体" w:hAnsi="宋体" w:cs="宋体"/>
                <w:spacing w:val="9"/>
                <w:sz w:val="24"/>
                <w:szCs w:val="24"/>
              </w:rPr>
              <w:t>所</w:t>
            </w:r>
            <w:r>
              <w:rPr>
                <w:rFonts w:hint="eastAsia" w:ascii="宋体" w:hAnsi="宋体" w:cs="宋体"/>
                <w:spacing w:val="7"/>
                <w:sz w:val="24"/>
                <w:szCs w:val="24"/>
              </w:rPr>
              <w:t>属行业</w:t>
            </w:r>
          </w:p>
        </w:tc>
        <w:tc>
          <w:tcPr>
            <w:tcW w:w="774" w:type="pct"/>
            <w:gridSpan w:val="2"/>
            <w:tcBorders>
              <w:left w:val="single" w:color="000000" w:sz="4" w:space="0"/>
              <w:right w:val="single" w:color="000000" w:sz="10" w:space="0"/>
            </w:tcBorders>
          </w:tcPr>
          <w:p w14:paraId="7808A30A">
            <w:pPr>
              <w:rPr>
                <w:rFonts w:hint="eastAsia" w:ascii="宋体" w:hAnsi="宋体" w:cs="宋体"/>
                <w:sz w:val="24"/>
                <w:szCs w:val="24"/>
              </w:rPr>
            </w:pPr>
          </w:p>
        </w:tc>
      </w:tr>
      <w:tr w14:paraId="47126B8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50" w:hRule="atLeast"/>
        </w:trPr>
        <w:tc>
          <w:tcPr>
            <w:tcW w:w="1234" w:type="pct"/>
            <w:vMerge w:val="restart"/>
            <w:tcBorders>
              <w:left w:val="single" w:color="000000" w:sz="10" w:space="0"/>
              <w:bottom w:val="nil"/>
              <w:right w:val="single" w:color="000000" w:sz="4" w:space="0"/>
            </w:tcBorders>
          </w:tcPr>
          <w:p w14:paraId="533D4805">
            <w:pPr>
              <w:spacing w:before="170" w:line="274" w:lineRule="auto"/>
              <w:ind w:left="364" w:right="255" w:firstLine="169"/>
              <w:rPr>
                <w:rFonts w:hint="eastAsia" w:ascii="宋体" w:hAnsi="宋体" w:cs="宋体"/>
                <w:sz w:val="24"/>
                <w:szCs w:val="24"/>
              </w:rPr>
            </w:pPr>
            <w:r>
              <w:rPr>
                <w:rFonts w:hint="eastAsia" w:ascii="宋体" w:hAnsi="宋体" w:cs="宋体"/>
                <w:spacing w:val="8"/>
                <w:sz w:val="24"/>
                <w:szCs w:val="24"/>
              </w:rPr>
              <w:t>法定代表</w:t>
            </w:r>
            <w:r>
              <w:rPr>
                <w:rFonts w:hint="eastAsia" w:ascii="宋体" w:hAnsi="宋体" w:cs="宋体"/>
                <w:spacing w:val="7"/>
                <w:sz w:val="24"/>
                <w:szCs w:val="24"/>
              </w:rPr>
              <w:t>人</w:t>
            </w:r>
            <w:r>
              <w:rPr>
                <w:rFonts w:hint="eastAsia" w:ascii="宋体" w:hAnsi="宋体" w:cs="宋体"/>
                <w:sz w:val="24"/>
                <w:szCs w:val="24"/>
              </w:rPr>
              <w:t xml:space="preserve">  </w:t>
            </w:r>
            <w:r>
              <w:rPr>
                <w:rFonts w:hint="eastAsia" w:ascii="宋体" w:hAnsi="宋体" w:cs="宋体"/>
                <w:spacing w:val="23"/>
                <w:sz w:val="24"/>
                <w:szCs w:val="24"/>
              </w:rPr>
              <w:t>(</w:t>
            </w:r>
            <w:r>
              <w:rPr>
                <w:rFonts w:hint="eastAsia" w:ascii="宋体" w:hAnsi="宋体" w:cs="宋体"/>
                <w:spacing w:val="20"/>
                <w:sz w:val="24"/>
                <w:szCs w:val="24"/>
              </w:rPr>
              <w:t>单位负责人)</w:t>
            </w:r>
          </w:p>
        </w:tc>
        <w:tc>
          <w:tcPr>
            <w:tcW w:w="611" w:type="pct"/>
            <w:vMerge w:val="restart"/>
            <w:tcBorders>
              <w:left w:val="single" w:color="000000" w:sz="4" w:space="0"/>
              <w:bottom w:val="nil"/>
              <w:right w:val="single" w:color="000000" w:sz="4" w:space="0"/>
            </w:tcBorders>
          </w:tcPr>
          <w:p w14:paraId="7100CFBD">
            <w:pPr>
              <w:spacing w:line="257" w:lineRule="auto"/>
              <w:rPr>
                <w:rFonts w:hint="eastAsia" w:ascii="宋体" w:hAnsi="宋体" w:cs="宋体"/>
                <w:sz w:val="24"/>
                <w:szCs w:val="24"/>
              </w:rPr>
            </w:pPr>
          </w:p>
          <w:p w14:paraId="472E8364">
            <w:pPr>
              <w:spacing w:before="75" w:line="227" w:lineRule="auto"/>
              <w:ind w:left="324"/>
              <w:rPr>
                <w:rFonts w:hint="eastAsia" w:ascii="宋体" w:hAnsi="宋体" w:cs="宋体"/>
                <w:sz w:val="24"/>
                <w:szCs w:val="24"/>
              </w:rPr>
            </w:pPr>
            <w:r>
              <w:rPr>
                <w:rFonts w:hint="eastAsia" w:ascii="宋体" w:hAnsi="宋体" w:cs="宋体"/>
                <w:spacing w:val="5"/>
                <w:sz w:val="24"/>
                <w:szCs w:val="24"/>
              </w:rPr>
              <w:t>姓名</w:t>
            </w:r>
          </w:p>
        </w:tc>
        <w:tc>
          <w:tcPr>
            <w:tcW w:w="767" w:type="pct"/>
            <w:vMerge w:val="restart"/>
            <w:tcBorders>
              <w:left w:val="single" w:color="000000" w:sz="4" w:space="0"/>
              <w:bottom w:val="nil"/>
              <w:right w:val="single" w:color="000000" w:sz="4" w:space="0"/>
            </w:tcBorders>
          </w:tcPr>
          <w:p w14:paraId="5E736560">
            <w:pPr>
              <w:rPr>
                <w:rFonts w:hint="eastAsia" w:ascii="宋体" w:hAnsi="宋体" w:cs="宋体"/>
                <w:sz w:val="24"/>
                <w:szCs w:val="24"/>
              </w:rPr>
            </w:pPr>
          </w:p>
        </w:tc>
        <w:tc>
          <w:tcPr>
            <w:tcW w:w="614" w:type="pct"/>
            <w:gridSpan w:val="2"/>
            <w:vMerge w:val="restart"/>
            <w:tcBorders>
              <w:left w:val="single" w:color="000000" w:sz="4" w:space="0"/>
              <w:bottom w:val="nil"/>
              <w:right w:val="single" w:color="000000" w:sz="4" w:space="0"/>
            </w:tcBorders>
          </w:tcPr>
          <w:p w14:paraId="0C04E9BF">
            <w:pPr>
              <w:spacing w:line="256" w:lineRule="auto"/>
              <w:rPr>
                <w:rFonts w:hint="eastAsia" w:ascii="宋体" w:hAnsi="宋体" w:cs="宋体"/>
                <w:sz w:val="24"/>
                <w:szCs w:val="24"/>
              </w:rPr>
            </w:pPr>
          </w:p>
          <w:p w14:paraId="3387FE02">
            <w:pPr>
              <w:spacing w:before="75" w:line="230" w:lineRule="auto"/>
              <w:ind w:left="359"/>
              <w:rPr>
                <w:rFonts w:hint="eastAsia" w:ascii="宋体" w:hAnsi="宋体" w:cs="宋体"/>
                <w:sz w:val="24"/>
                <w:szCs w:val="24"/>
              </w:rPr>
            </w:pPr>
            <w:r>
              <w:rPr>
                <w:rFonts w:hint="eastAsia" w:ascii="宋体" w:hAnsi="宋体" w:cs="宋体"/>
                <w:spacing w:val="-10"/>
                <w:sz w:val="24"/>
                <w:szCs w:val="24"/>
              </w:rPr>
              <w:t>电</w:t>
            </w:r>
            <w:r>
              <w:rPr>
                <w:rFonts w:hint="eastAsia" w:ascii="宋体" w:hAnsi="宋体" w:cs="宋体"/>
                <w:spacing w:val="-8"/>
                <w:sz w:val="24"/>
                <w:szCs w:val="24"/>
              </w:rPr>
              <w:t>话</w:t>
            </w:r>
          </w:p>
        </w:tc>
        <w:tc>
          <w:tcPr>
            <w:tcW w:w="997" w:type="pct"/>
            <w:gridSpan w:val="2"/>
            <w:tcBorders>
              <w:left w:val="single" w:color="000000" w:sz="4" w:space="0"/>
              <w:right w:val="single" w:color="000000" w:sz="4" w:space="0"/>
            </w:tcBorders>
          </w:tcPr>
          <w:p w14:paraId="0328605B">
            <w:pPr>
              <w:spacing w:before="150" w:line="227" w:lineRule="auto"/>
              <w:ind w:left="689"/>
              <w:rPr>
                <w:rFonts w:hint="eastAsia" w:ascii="宋体" w:hAnsi="宋体" w:cs="宋体"/>
                <w:sz w:val="24"/>
                <w:szCs w:val="24"/>
              </w:rPr>
            </w:pPr>
            <w:r>
              <w:rPr>
                <w:rFonts w:hint="eastAsia" w:ascii="宋体" w:hAnsi="宋体" w:cs="宋体"/>
                <w:spacing w:val="5"/>
                <w:sz w:val="24"/>
                <w:szCs w:val="24"/>
              </w:rPr>
              <w:t>手机</w:t>
            </w:r>
          </w:p>
        </w:tc>
        <w:tc>
          <w:tcPr>
            <w:tcW w:w="774" w:type="pct"/>
            <w:gridSpan w:val="2"/>
            <w:tcBorders>
              <w:left w:val="single" w:color="000000" w:sz="4" w:space="0"/>
              <w:right w:val="single" w:color="000000" w:sz="10" w:space="0"/>
            </w:tcBorders>
          </w:tcPr>
          <w:p w14:paraId="3F053D6E">
            <w:pPr>
              <w:rPr>
                <w:rFonts w:hint="eastAsia" w:ascii="宋体" w:hAnsi="宋体" w:cs="宋体"/>
                <w:sz w:val="24"/>
                <w:szCs w:val="24"/>
              </w:rPr>
            </w:pPr>
          </w:p>
        </w:tc>
      </w:tr>
      <w:tr w14:paraId="5E3BAD6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50" w:hRule="atLeast"/>
        </w:trPr>
        <w:tc>
          <w:tcPr>
            <w:tcW w:w="1234" w:type="pct"/>
            <w:vMerge w:val="continue"/>
            <w:tcBorders>
              <w:top w:val="nil"/>
              <w:left w:val="single" w:color="000000" w:sz="10" w:space="0"/>
              <w:right w:val="single" w:color="000000" w:sz="4" w:space="0"/>
            </w:tcBorders>
          </w:tcPr>
          <w:p w14:paraId="28B4A863">
            <w:pPr>
              <w:rPr>
                <w:rFonts w:hint="eastAsia" w:ascii="宋体" w:hAnsi="宋体" w:cs="宋体"/>
                <w:sz w:val="24"/>
                <w:szCs w:val="24"/>
              </w:rPr>
            </w:pPr>
          </w:p>
        </w:tc>
        <w:tc>
          <w:tcPr>
            <w:tcW w:w="611" w:type="pct"/>
            <w:vMerge w:val="continue"/>
            <w:tcBorders>
              <w:top w:val="nil"/>
              <w:left w:val="single" w:color="000000" w:sz="4" w:space="0"/>
              <w:right w:val="single" w:color="000000" w:sz="4" w:space="0"/>
            </w:tcBorders>
          </w:tcPr>
          <w:p w14:paraId="35AC9F3A">
            <w:pPr>
              <w:rPr>
                <w:rFonts w:hint="eastAsia" w:ascii="宋体" w:hAnsi="宋体" w:cs="宋体"/>
                <w:sz w:val="24"/>
                <w:szCs w:val="24"/>
              </w:rPr>
            </w:pPr>
          </w:p>
        </w:tc>
        <w:tc>
          <w:tcPr>
            <w:tcW w:w="767" w:type="pct"/>
            <w:vMerge w:val="continue"/>
            <w:tcBorders>
              <w:top w:val="nil"/>
              <w:left w:val="single" w:color="000000" w:sz="4" w:space="0"/>
              <w:right w:val="single" w:color="000000" w:sz="4" w:space="0"/>
            </w:tcBorders>
          </w:tcPr>
          <w:p w14:paraId="3A6555ED">
            <w:pPr>
              <w:rPr>
                <w:rFonts w:hint="eastAsia" w:ascii="宋体" w:hAnsi="宋体" w:cs="宋体"/>
                <w:sz w:val="24"/>
                <w:szCs w:val="24"/>
              </w:rPr>
            </w:pPr>
          </w:p>
        </w:tc>
        <w:tc>
          <w:tcPr>
            <w:tcW w:w="614" w:type="pct"/>
            <w:gridSpan w:val="2"/>
            <w:vMerge w:val="continue"/>
            <w:tcBorders>
              <w:top w:val="nil"/>
              <w:left w:val="single" w:color="000000" w:sz="4" w:space="0"/>
              <w:right w:val="single" w:color="000000" w:sz="4" w:space="0"/>
            </w:tcBorders>
          </w:tcPr>
          <w:p w14:paraId="5C9E477A">
            <w:pPr>
              <w:rPr>
                <w:rFonts w:hint="eastAsia" w:ascii="宋体" w:hAnsi="宋体" w:cs="宋体"/>
                <w:sz w:val="24"/>
                <w:szCs w:val="24"/>
              </w:rPr>
            </w:pPr>
          </w:p>
        </w:tc>
        <w:tc>
          <w:tcPr>
            <w:tcW w:w="997" w:type="pct"/>
            <w:gridSpan w:val="2"/>
            <w:tcBorders>
              <w:left w:val="single" w:color="000000" w:sz="4" w:space="0"/>
              <w:right w:val="single" w:color="000000" w:sz="4" w:space="0"/>
            </w:tcBorders>
          </w:tcPr>
          <w:p w14:paraId="3F29001E">
            <w:pPr>
              <w:spacing w:before="152" w:line="227" w:lineRule="auto"/>
              <w:ind w:left="694"/>
              <w:rPr>
                <w:rFonts w:hint="eastAsia" w:ascii="宋体" w:hAnsi="宋体" w:cs="宋体"/>
                <w:sz w:val="24"/>
                <w:szCs w:val="24"/>
              </w:rPr>
            </w:pPr>
            <w:r>
              <w:rPr>
                <w:rFonts w:hint="eastAsia" w:ascii="宋体" w:hAnsi="宋体" w:cs="宋体"/>
                <w:spacing w:val="3"/>
                <w:sz w:val="24"/>
                <w:szCs w:val="24"/>
              </w:rPr>
              <w:t>办</w:t>
            </w:r>
            <w:r>
              <w:rPr>
                <w:rFonts w:hint="eastAsia" w:ascii="宋体" w:hAnsi="宋体" w:cs="宋体"/>
                <w:spacing w:val="2"/>
                <w:sz w:val="24"/>
                <w:szCs w:val="24"/>
              </w:rPr>
              <w:t>公</w:t>
            </w:r>
          </w:p>
        </w:tc>
        <w:tc>
          <w:tcPr>
            <w:tcW w:w="774" w:type="pct"/>
            <w:gridSpan w:val="2"/>
            <w:tcBorders>
              <w:left w:val="single" w:color="000000" w:sz="4" w:space="0"/>
              <w:right w:val="single" w:color="000000" w:sz="10" w:space="0"/>
            </w:tcBorders>
          </w:tcPr>
          <w:p w14:paraId="22F64ED9">
            <w:pPr>
              <w:rPr>
                <w:rFonts w:hint="eastAsia" w:ascii="宋体" w:hAnsi="宋体" w:cs="宋体"/>
                <w:sz w:val="24"/>
                <w:szCs w:val="24"/>
              </w:rPr>
            </w:pPr>
          </w:p>
        </w:tc>
      </w:tr>
      <w:tr w14:paraId="2CF29E1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50" w:hRule="atLeast"/>
        </w:trPr>
        <w:tc>
          <w:tcPr>
            <w:tcW w:w="1234" w:type="pct"/>
            <w:vMerge w:val="restart"/>
            <w:tcBorders>
              <w:left w:val="single" w:color="000000" w:sz="10" w:space="0"/>
              <w:bottom w:val="nil"/>
              <w:right w:val="single" w:color="000000" w:sz="4" w:space="0"/>
            </w:tcBorders>
            <w:vAlign w:val="center"/>
          </w:tcPr>
          <w:p w14:paraId="327828B4">
            <w:pPr>
              <w:spacing w:before="75" w:line="227" w:lineRule="auto"/>
              <w:ind w:left="412"/>
              <w:rPr>
                <w:rFonts w:hint="eastAsia" w:ascii="宋体" w:hAnsi="宋体" w:cs="宋体"/>
                <w:sz w:val="24"/>
                <w:szCs w:val="24"/>
              </w:rPr>
            </w:pPr>
            <w:r>
              <w:rPr>
                <w:rFonts w:hint="eastAsia" w:ascii="宋体" w:hAnsi="宋体" w:cs="宋体"/>
                <w:spacing w:val="11"/>
                <w:sz w:val="24"/>
                <w:szCs w:val="24"/>
              </w:rPr>
              <w:t>业</w:t>
            </w:r>
            <w:r>
              <w:rPr>
                <w:rFonts w:hint="eastAsia" w:ascii="宋体" w:hAnsi="宋体" w:cs="宋体"/>
                <w:spacing w:val="8"/>
                <w:sz w:val="24"/>
                <w:szCs w:val="24"/>
              </w:rPr>
              <w:t>务联系方式</w:t>
            </w:r>
          </w:p>
        </w:tc>
        <w:tc>
          <w:tcPr>
            <w:tcW w:w="611" w:type="pct"/>
            <w:vMerge w:val="restart"/>
            <w:tcBorders>
              <w:left w:val="single" w:color="000000" w:sz="4" w:space="0"/>
              <w:bottom w:val="nil"/>
              <w:right w:val="single" w:color="000000" w:sz="4" w:space="0"/>
            </w:tcBorders>
            <w:vAlign w:val="center"/>
          </w:tcPr>
          <w:p w14:paraId="46BE4487">
            <w:pPr>
              <w:spacing w:before="75" w:line="230" w:lineRule="auto"/>
              <w:ind w:left="205"/>
              <w:rPr>
                <w:rFonts w:hint="eastAsia" w:ascii="宋体" w:hAnsi="宋体" w:cs="宋体"/>
                <w:sz w:val="24"/>
                <w:szCs w:val="24"/>
              </w:rPr>
            </w:pPr>
            <w:r>
              <w:rPr>
                <w:rFonts w:hint="eastAsia" w:ascii="宋体" w:hAnsi="宋体" w:cs="宋体"/>
                <w:spacing w:val="7"/>
                <w:sz w:val="24"/>
                <w:szCs w:val="24"/>
              </w:rPr>
              <w:t>联</w:t>
            </w:r>
            <w:r>
              <w:rPr>
                <w:rFonts w:hint="eastAsia" w:ascii="宋体" w:hAnsi="宋体" w:cs="宋体"/>
                <w:spacing w:val="6"/>
                <w:sz w:val="24"/>
                <w:szCs w:val="24"/>
              </w:rPr>
              <w:t>系人</w:t>
            </w:r>
          </w:p>
        </w:tc>
        <w:tc>
          <w:tcPr>
            <w:tcW w:w="767" w:type="pct"/>
            <w:vMerge w:val="restart"/>
            <w:tcBorders>
              <w:left w:val="single" w:color="000000" w:sz="4" w:space="0"/>
              <w:bottom w:val="nil"/>
              <w:right w:val="single" w:color="000000" w:sz="4" w:space="0"/>
            </w:tcBorders>
          </w:tcPr>
          <w:p w14:paraId="0C57BF4B">
            <w:pPr>
              <w:rPr>
                <w:rFonts w:hint="eastAsia" w:ascii="宋体" w:hAnsi="宋体" w:cs="宋体"/>
                <w:sz w:val="24"/>
                <w:szCs w:val="24"/>
              </w:rPr>
            </w:pPr>
          </w:p>
        </w:tc>
        <w:tc>
          <w:tcPr>
            <w:tcW w:w="614" w:type="pct"/>
            <w:gridSpan w:val="2"/>
            <w:tcBorders>
              <w:left w:val="single" w:color="000000" w:sz="4" w:space="0"/>
              <w:right w:val="single" w:color="000000" w:sz="4" w:space="0"/>
            </w:tcBorders>
          </w:tcPr>
          <w:p w14:paraId="1D526854">
            <w:pPr>
              <w:spacing w:before="104" w:line="230" w:lineRule="auto"/>
              <w:ind w:left="359"/>
              <w:rPr>
                <w:rFonts w:hint="eastAsia" w:ascii="宋体" w:hAnsi="宋体" w:cs="宋体"/>
                <w:sz w:val="24"/>
                <w:szCs w:val="24"/>
              </w:rPr>
            </w:pPr>
            <w:r>
              <w:rPr>
                <w:rFonts w:hint="eastAsia" w:ascii="宋体" w:hAnsi="宋体" w:cs="宋体"/>
                <w:spacing w:val="-10"/>
                <w:sz w:val="24"/>
                <w:szCs w:val="24"/>
              </w:rPr>
              <w:t>电</w:t>
            </w:r>
            <w:r>
              <w:rPr>
                <w:rFonts w:hint="eastAsia" w:ascii="宋体" w:hAnsi="宋体" w:cs="宋体"/>
                <w:spacing w:val="-8"/>
                <w:sz w:val="24"/>
                <w:szCs w:val="24"/>
              </w:rPr>
              <w:t>话</w:t>
            </w:r>
          </w:p>
        </w:tc>
        <w:tc>
          <w:tcPr>
            <w:tcW w:w="1771" w:type="pct"/>
            <w:gridSpan w:val="4"/>
            <w:tcBorders>
              <w:left w:val="single" w:color="000000" w:sz="4" w:space="0"/>
              <w:right w:val="single" w:color="000000" w:sz="10" w:space="0"/>
            </w:tcBorders>
          </w:tcPr>
          <w:p w14:paraId="7D792E50">
            <w:pPr>
              <w:rPr>
                <w:rFonts w:hint="eastAsia" w:ascii="宋体" w:hAnsi="宋体" w:cs="宋体"/>
                <w:sz w:val="24"/>
                <w:szCs w:val="24"/>
              </w:rPr>
            </w:pPr>
          </w:p>
        </w:tc>
      </w:tr>
      <w:tr w14:paraId="7870687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50" w:hRule="atLeast"/>
        </w:trPr>
        <w:tc>
          <w:tcPr>
            <w:tcW w:w="1234" w:type="pct"/>
            <w:vMerge w:val="continue"/>
            <w:tcBorders>
              <w:top w:val="nil"/>
              <w:left w:val="single" w:color="000000" w:sz="10" w:space="0"/>
              <w:right w:val="single" w:color="000000" w:sz="4" w:space="0"/>
            </w:tcBorders>
          </w:tcPr>
          <w:p w14:paraId="72A68DF9">
            <w:pPr>
              <w:rPr>
                <w:rFonts w:hint="eastAsia" w:ascii="宋体" w:hAnsi="宋体" w:cs="宋体"/>
                <w:sz w:val="24"/>
                <w:szCs w:val="24"/>
              </w:rPr>
            </w:pPr>
          </w:p>
        </w:tc>
        <w:tc>
          <w:tcPr>
            <w:tcW w:w="611" w:type="pct"/>
            <w:vMerge w:val="continue"/>
            <w:tcBorders>
              <w:top w:val="nil"/>
              <w:left w:val="single" w:color="000000" w:sz="4" w:space="0"/>
              <w:right w:val="single" w:color="000000" w:sz="4" w:space="0"/>
            </w:tcBorders>
          </w:tcPr>
          <w:p w14:paraId="7AA17234">
            <w:pPr>
              <w:rPr>
                <w:rFonts w:hint="eastAsia" w:ascii="宋体" w:hAnsi="宋体" w:cs="宋体"/>
                <w:sz w:val="24"/>
                <w:szCs w:val="24"/>
              </w:rPr>
            </w:pPr>
          </w:p>
        </w:tc>
        <w:tc>
          <w:tcPr>
            <w:tcW w:w="767" w:type="pct"/>
            <w:vMerge w:val="continue"/>
            <w:tcBorders>
              <w:top w:val="nil"/>
              <w:left w:val="single" w:color="000000" w:sz="4" w:space="0"/>
              <w:right w:val="single" w:color="000000" w:sz="4" w:space="0"/>
            </w:tcBorders>
          </w:tcPr>
          <w:p w14:paraId="1EA732B3">
            <w:pPr>
              <w:rPr>
                <w:rFonts w:hint="eastAsia" w:ascii="宋体" w:hAnsi="宋体" w:cs="宋体"/>
                <w:sz w:val="24"/>
                <w:szCs w:val="24"/>
              </w:rPr>
            </w:pPr>
          </w:p>
        </w:tc>
        <w:tc>
          <w:tcPr>
            <w:tcW w:w="614" w:type="pct"/>
            <w:gridSpan w:val="2"/>
            <w:tcBorders>
              <w:left w:val="single" w:color="000000" w:sz="4" w:space="0"/>
              <w:right w:val="single" w:color="000000" w:sz="4" w:space="0"/>
            </w:tcBorders>
          </w:tcPr>
          <w:p w14:paraId="0F50AF9B">
            <w:pPr>
              <w:spacing w:before="106" w:line="228" w:lineRule="auto"/>
              <w:ind w:left="349"/>
              <w:rPr>
                <w:rFonts w:hint="eastAsia" w:ascii="宋体" w:hAnsi="宋体" w:cs="宋体"/>
                <w:sz w:val="24"/>
                <w:szCs w:val="24"/>
              </w:rPr>
            </w:pPr>
            <w:r>
              <w:rPr>
                <w:rFonts w:hint="eastAsia" w:ascii="宋体" w:hAnsi="宋体" w:cs="宋体"/>
                <w:spacing w:val="-5"/>
                <w:sz w:val="24"/>
                <w:szCs w:val="24"/>
              </w:rPr>
              <w:t>邮</w:t>
            </w:r>
            <w:r>
              <w:rPr>
                <w:rFonts w:hint="eastAsia" w:ascii="宋体" w:hAnsi="宋体" w:cs="宋体"/>
                <w:spacing w:val="-3"/>
                <w:sz w:val="24"/>
                <w:szCs w:val="24"/>
              </w:rPr>
              <w:t>箱</w:t>
            </w:r>
          </w:p>
        </w:tc>
        <w:tc>
          <w:tcPr>
            <w:tcW w:w="1771" w:type="pct"/>
            <w:gridSpan w:val="4"/>
            <w:tcBorders>
              <w:left w:val="single" w:color="000000" w:sz="4" w:space="0"/>
              <w:right w:val="single" w:color="000000" w:sz="10" w:space="0"/>
            </w:tcBorders>
          </w:tcPr>
          <w:p w14:paraId="256D9817">
            <w:pPr>
              <w:rPr>
                <w:rFonts w:hint="eastAsia" w:ascii="宋体" w:hAnsi="宋体" w:cs="宋体"/>
                <w:sz w:val="24"/>
                <w:szCs w:val="24"/>
              </w:rPr>
            </w:pPr>
          </w:p>
        </w:tc>
      </w:tr>
      <w:tr w14:paraId="66CA5BE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18" w:hRule="atLeast"/>
        </w:trPr>
        <w:tc>
          <w:tcPr>
            <w:tcW w:w="1234" w:type="pct"/>
            <w:tcBorders>
              <w:left w:val="single" w:color="000000" w:sz="10" w:space="0"/>
              <w:right w:val="single" w:color="000000" w:sz="4" w:space="0"/>
            </w:tcBorders>
          </w:tcPr>
          <w:p w14:paraId="0B64B3B1">
            <w:pPr>
              <w:spacing w:before="238" w:line="227" w:lineRule="auto"/>
              <w:ind w:left="173"/>
              <w:rPr>
                <w:rFonts w:hint="eastAsia" w:ascii="宋体" w:hAnsi="宋体" w:cs="宋体"/>
                <w:sz w:val="24"/>
                <w:szCs w:val="24"/>
              </w:rPr>
            </w:pPr>
            <w:r>
              <w:rPr>
                <w:rFonts w:hint="eastAsia" w:ascii="宋体" w:hAnsi="宋体" w:cs="宋体"/>
                <w:spacing w:val="9"/>
                <w:sz w:val="24"/>
                <w:szCs w:val="24"/>
              </w:rPr>
              <w:t>基本账户开户银</w:t>
            </w:r>
            <w:r>
              <w:rPr>
                <w:rFonts w:hint="eastAsia" w:ascii="宋体" w:hAnsi="宋体" w:cs="宋体"/>
                <w:spacing w:val="7"/>
                <w:sz w:val="24"/>
                <w:szCs w:val="24"/>
              </w:rPr>
              <w:t>行</w:t>
            </w:r>
          </w:p>
        </w:tc>
        <w:tc>
          <w:tcPr>
            <w:tcW w:w="1379" w:type="pct"/>
            <w:gridSpan w:val="2"/>
            <w:tcBorders>
              <w:left w:val="single" w:color="000000" w:sz="4" w:space="0"/>
              <w:right w:val="single" w:color="000000" w:sz="4" w:space="0"/>
            </w:tcBorders>
          </w:tcPr>
          <w:p w14:paraId="314E3696">
            <w:pPr>
              <w:rPr>
                <w:rFonts w:hint="eastAsia" w:ascii="宋体" w:hAnsi="宋体" w:cs="宋体"/>
                <w:sz w:val="24"/>
                <w:szCs w:val="24"/>
              </w:rPr>
            </w:pPr>
          </w:p>
        </w:tc>
        <w:tc>
          <w:tcPr>
            <w:tcW w:w="1227" w:type="pct"/>
            <w:gridSpan w:val="3"/>
            <w:tcBorders>
              <w:left w:val="single" w:color="000000" w:sz="4" w:space="0"/>
              <w:right w:val="single" w:color="000000" w:sz="4" w:space="0"/>
            </w:tcBorders>
          </w:tcPr>
          <w:p w14:paraId="2090F58E">
            <w:pPr>
              <w:spacing w:before="284" w:line="227" w:lineRule="auto"/>
              <w:ind w:left="180"/>
              <w:rPr>
                <w:rFonts w:hint="eastAsia" w:ascii="宋体" w:hAnsi="宋体" w:cs="宋体"/>
                <w:sz w:val="24"/>
                <w:szCs w:val="24"/>
              </w:rPr>
            </w:pPr>
            <w:r>
              <w:rPr>
                <w:rFonts w:hint="eastAsia" w:ascii="宋体" w:hAnsi="宋体" w:cs="宋体"/>
                <w:spacing w:val="9"/>
                <w:sz w:val="24"/>
                <w:szCs w:val="24"/>
              </w:rPr>
              <w:t>基本账户开户银</w:t>
            </w:r>
            <w:r>
              <w:rPr>
                <w:rFonts w:hint="eastAsia" w:ascii="宋体" w:hAnsi="宋体" w:cs="宋体"/>
                <w:spacing w:val="7"/>
                <w:sz w:val="24"/>
                <w:szCs w:val="24"/>
              </w:rPr>
              <w:t>行账号</w:t>
            </w:r>
          </w:p>
        </w:tc>
        <w:tc>
          <w:tcPr>
            <w:tcW w:w="1158" w:type="pct"/>
            <w:gridSpan w:val="3"/>
            <w:tcBorders>
              <w:left w:val="single" w:color="000000" w:sz="4" w:space="0"/>
              <w:right w:val="single" w:color="000000" w:sz="10" w:space="0"/>
            </w:tcBorders>
          </w:tcPr>
          <w:p w14:paraId="742912FD">
            <w:pPr>
              <w:rPr>
                <w:rFonts w:hint="eastAsia" w:ascii="宋体" w:hAnsi="宋体" w:cs="宋体"/>
                <w:sz w:val="24"/>
                <w:szCs w:val="24"/>
              </w:rPr>
            </w:pPr>
          </w:p>
        </w:tc>
      </w:tr>
      <w:tr w14:paraId="6975F6D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40" w:hRule="atLeast"/>
        </w:trPr>
        <w:tc>
          <w:tcPr>
            <w:tcW w:w="1234" w:type="pct"/>
            <w:tcBorders>
              <w:left w:val="single" w:color="000000" w:sz="10" w:space="0"/>
              <w:right w:val="single" w:color="000000" w:sz="4" w:space="0"/>
            </w:tcBorders>
            <w:vAlign w:val="center"/>
          </w:tcPr>
          <w:p w14:paraId="7C34D7FA">
            <w:pPr>
              <w:spacing w:before="75" w:line="228" w:lineRule="auto"/>
              <w:ind w:left="655"/>
              <w:rPr>
                <w:rFonts w:hint="eastAsia" w:ascii="宋体" w:hAnsi="宋体" w:cs="宋体"/>
                <w:sz w:val="24"/>
                <w:szCs w:val="24"/>
              </w:rPr>
            </w:pPr>
            <w:r>
              <w:rPr>
                <w:rFonts w:hint="eastAsia" w:ascii="宋体" w:hAnsi="宋体" w:cs="宋体"/>
                <w:spacing w:val="7"/>
                <w:sz w:val="24"/>
                <w:szCs w:val="24"/>
              </w:rPr>
              <w:t>经营范围</w:t>
            </w:r>
          </w:p>
        </w:tc>
        <w:tc>
          <w:tcPr>
            <w:tcW w:w="3765" w:type="pct"/>
            <w:gridSpan w:val="8"/>
            <w:tcBorders>
              <w:left w:val="single" w:color="000000" w:sz="4" w:space="0"/>
              <w:right w:val="single" w:color="000000" w:sz="10" w:space="0"/>
            </w:tcBorders>
          </w:tcPr>
          <w:p w14:paraId="124E85F6">
            <w:pPr>
              <w:rPr>
                <w:rFonts w:hint="eastAsia" w:ascii="宋体" w:hAnsi="宋体" w:cs="宋体"/>
                <w:sz w:val="24"/>
                <w:szCs w:val="24"/>
              </w:rPr>
            </w:pPr>
          </w:p>
        </w:tc>
      </w:tr>
      <w:tr w14:paraId="4E5E073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089" w:hRule="atLeast"/>
        </w:trPr>
        <w:tc>
          <w:tcPr>
            <w:tcW w:w="1234" w:type="pct"/>
            <w:tcBorders>
              <w:left w:val="single" w:color="000000" w:sz="10" w:space="0"/>
              <w:right w:val="single" w:color="000000" w:sz="4" w:space="0"/>
            </w:tcBorders>
          </w:tcPr>
          <w:p w14:paraId="6D8AC8ED">
            <w:pPr>
              <w:spacing w:before="90" w:line="227" w:lineRule="auto"/>
              <w:ind w:left="173"/>
              <w:rPr>
                <w:rFonts w:hint="eastAsia" w:ascii="宋体" w:hAnsi="宋体" w:cs="宋体"/>
                <w:sz w:val="24"/>
                <w:szCs w:val="24"/>
              </w:rPr>
            </w:pPr>
            <w:r>
              <w:rPr>
                <w:rFonts w:hint="eastAsia" w:ascii="宋体" w:hAnsi="宋体" w:cs="宋体"/>
                <w:spacing w:val="9"/>
                <w:sz w:val="24"/>
                <w:szCs w:val="24"/>
              </w:rPr>
              <w:t>所获得资质及等</w:t>
            </w:r>
            <w:r>
              <w:rPr>
                <w:rFonts w:hint="eastAsia" w:ascii="宋体" w:hAnsi="宋体" w:cs="宋体"/>
                <w:spacing w:val="7"/>
                <w:sz w:val="24"/>
                <w:szCs w:val="24"/>
              </w:rPr>
              <w:t>级</w:t>
            </w:r>
          </w:p>
          <w:p w14:paraId="004B28DC">
            <w:pPr>
              <w:spacing w:before="77" w:line="227" w:lineRule="auto"/>
              <w:ind w:left="275"/>
              <w:rPr>
                <w:rFonts w:hint="eastAsia" w:ascii="宋体" w:hAnsi="宋体" w:cs="宋体"/>
                <w:sz w:val="24"/>
                <w:szCs w:val="24"/>
              </w:rPr>
            </w:pPr>
            <w:r>
              <w:rPr>
                <w:rFonts w:hint="eastAsia" w:ascii="宋体" w:hAnsi="宋体" w:cs="宋体"/>
                <w:spacing w:val="3"/>
                <w:sz w:val="24"/>
                <w:szCs w:val="24"/>
              </w:rPr>
              <w:t>(国家行政部门</w:t>
            </w:r>
            <w:r>
              <w:rPr>
                <w:rFonts w:hint="eastAsia" w:ascii="宋体" w:hAnsi="宋体" w:cs="宋体"/>
                <w:spacing w:val="2"/>
                <w:sz w:val="24"/>
                <w:szCs w:val="24"/>
              </w:rPr>
              <w:t>颁</w:t>
            </w:r>
            <w:r>
              <w:rPr>
                <w:rFonts w:hint="eastAsia" w:ascii="宋体" w:hAnsi="宋体" w:cs="宋体"/>
                <w:spacing w:val="1"/>
                <w:sz w:val="24"/>
                <w:szCs w:val="24"/>
              </w:rPr>
              <w:t>发</w:t>
            </w:r>
            <w:r>
              <w:rPr>
                <w:rFonts w:hint="eastAsia" w:ascii="宋体" w:hAnsi="宋体" w:cs="宋体"/>
                <w:sz w:val="24"/>
                <w:szCs w:val="24"/>
              </w:rPr>
              <w:t>)</w:t>
            </w:r>
          </w:p>
        </w:tc>
        <w:tc>
          <w:tcPr>
            <w:tcW w:w="3765" w:type="pct"/>
            <w:gridSpan w:val="8"/>
            <w:tcBorders>
              <w:left w:val="single" w:color="000000" w:sz="4" w:space="0"/>
              <w:right w:val="single" w:color="000000" w:sz="10" w:space="0"/>
            </w:tcBorders>
          </w:tcPr>
          <w:p w14:paraId="5E6B1DAB">
            <w:pPr>
              <w:rPr>
                <w:rFonts w:hint="eastAsia" w:ascii="宋体" w:hAnsi="宋体" w:cs="宋体"/>
                <w:sz w:val="24"/>
                <w:szCs w:val="24"/>
              </w:rPr>
            </w:pPr>
          </w:p>
        </w:tc>
      </w:tr>
      <w:tr w14:paraId="5933F8F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86" w:hRule="atLeast"/>
        </w:trPr>
        <w:tc>
          <w:tcPr>
            <w:tcW w:w="5000" w:type="pct"/>
            <w:gridSpan w:val="9"/>
            <w:tcBorders>
              <w:left w:val="single" w:color="000000" w:sz="10" w:space="0"/>
              <w:right w:val="single" w:color="000000" w:sz="10" w:space="0"/>
            </w:tcBorders>
            <w:shd w:val="clear" w:color="auto" w:fill="F1F1F1"/>
          </w:tcPr>
          <w:p w14:paraId="0848500F">
            <w:pPr>
              <w:spacing w:before="222" w:line="228" w:lineRule="auto"/>
              <w:ind w:left="4128"/>
              <w:rPr>
                <w:rFonts w:hint="eastAsia" w:ascii="宋体" w:hAnsi="宋体" w:cs="宋体"/>
                <w:sz w:val="24"/>
                <w:szCs w:val="24"/>
              </w:rPr>
            </w:pPr>
            <w:r>
              <w:rPr>
                <w:rFonts w:hint="eastAsia" w:ascii="宋体" w:hAnsi="宋体" w:cs="宋体"/>
                <w:spacing w:val="7"/>
                <w:sz w:val="24"/>
                <w:szCs w:val="24"/>
              </w:rPr>
              <w:t>人员情况</w:t>
            </w:r>
          </w:p>
        </w:tc>
      </w:tr>
      <w:tr w14:paraId="67A09A4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34" w:hRule="atLeast"/>
        </w:trPr>
        <w:tc>
          <w:tcPr>
            <w:tcW w:w="1234" w:type="pct"/>
            <w:vMerge w:val="restart"/>
            <w:tcBorders>
              <w:left w:val="single" w:color="000000" w:sz="10" w:space="0"/>
              <w:bottom w:val="nil"/>
              <w:right w:val="single" w:color="000000" w:sz="4" w:space="0"/>
            </w:tcBorders>
          </w:tcPr>
          <w:p w14:paraId="39E2C0F8">
            <w:pPr>
              <w:spacing w:line="354" w:lineRule="auto"/>
              <w:rPr>
                <w:rFonts w:hint="eastAsia" w:ascii="宋体" w:hAnsi="宋体" w:cs="宋体"/>
                <w:sz w:val="24"/>
                <w:szCs w:val="24"/>
              </w:rPr>
            </w:pPr>
          </w:p>
          <w:p w14:paraId="4B11CE7F">
            <w:pPr>
              <w:spacing w:before="75" w:line="227" w:lineRule="auto"/>
              <w:ind w:left="416"/>
              <w:rPr>
                <w:rFonts w:hint="eastAsia" w:ascii="宋体" w:hAnsi="宋体" w:cs="宋体"/>
                <w:sz w:val="24"/>
                <w:szCs w:val="24"/>
              </w:rPr>
            </w:pPr>
            <w:r>
              <w:rPr>
                <w:rFonts w:hint="eastAsia" w:ascii="宋体" w:hAnsi="宋体" w:cs="宋体"/>
                <w:spacing w:val="8"/>
                <w:sz w:val="24"/>
                <w:szCs w:val="24"/>
              </w:rPr>
              <w:t>从业人员总</w:t>
            </w:r>
            <w:r>
              <w:rPr>
                <w:rFonts w:hint="eastAsia" w:ascii="宋体" w:hAnsi="宋体" w:cs="宋体"/>
                <w:spacing w:val="7"/>
                <w:sz w:val="24"/>
                <w:szCs w:val="24"/>
              </w:rPr>
              <w:t>数</w:t>
            </w:r>
          </w:p>
        </w:tc>
        <w:tc>
          <w:tcPr>
            <w:tcW w:w="611" w:type="pct"/>
            <w:vMerge w:val="restart"/>
            <w:tcBorders>
              <w:left w:val="single" w:color="000000" w:sz="4" w:space="0"/>
              <w:bottom w:val="nil"/>
              <w:right w:val="single" w:color="000000" w:sz="4" w:space="0"/>
            </w:tcBorders>
          </w:tcPr>
          <w:p w14:paraId="052BC744">
            <w:pPr>
              <w:rPr>
                <w:rFonts w:hint="eastAsia" w:ascii="宋体" w:hAnsi="宋体" w:cs="宋体"/>
                <w:sz w:val="24"/>
                <w:szCs w:val="24"/>
              </w:rPr>
            </w:pPr>
          </w:p>
        </w:tc>
        <w:tc>
          <w:tcPr>
            <w:tcW w:w="921" w:type="pct"/>
            <w:gridSpan w:val="2"/>
            <w:tcBorders>
              <w:left w:val="single" w:color="000000" w:sz="4" w:space="0"/>
              <w:right w:val="single" w:color="000000" w:sz="4" w:space="0"/>
            </w:tcBorders>
          </w:tcPr>
          <w:p w14:paraId="7B88291B">
            <w:pPr>
              <w:spacing w:before="150" w:line="227" w:lineRule="auto"/>
              <w:ind w:left="136"/>
              <w:rPr>
                <w:rFonts w:hint="eastAsia" w:ascii="宋体" w:hAnsi="宋体" w:cs="宋体"/>
                <w:sz w:val="24"/>
                <w:szCs w:val="24"/>
              </w:rPr>
            </w:pPr>
            <w:r>
              <w:rPr>
                <w:rFonts w:hint="eastAsia" w:ascii="宋体" w:hAnsi="宋体" w:cs="宋体"/>
                <w:spacing w:val="9"/>
                <w:sz w:val="24"/>
                <w:szCs w:val="24"/>
              </w:rPr>
              <w:t>管</w:t>
            </w:r>
            <w:r>
              <w:rPr>
                <w:rFonts w:hint="eastAsia" w:ascii="宋体" w:hAnsi="宋体" w:cs="宋体"/>
                <w:spacing w:val="7"/>
                <w:sz w:val="24"/>
                <w:szCs w:val="24"/>
              </w:rPr>
              <w:t>理人员数量</w:t>
            </w:r>
          </w:p>
        </w:tc>
        <w:tc>
          <w:tcPr>
            <w:tcW w:w="461" w:type="pct"/>
            <w:tcBorders>
              <w:left w:val="single" w:color="000000" w:sz="4" w:space="0"/>
              <w:right w:val="single" w:color="000000" w:sz="4" w:space="0"/>
            </w:tcBorders>
          </w:tcPr>
          <w:p w14:paraId="319DF3DC">
            <w:pPr>
              <w:rPr>
                <w:rFonts w:hint="eastAsia" w:ascii="宋体" w:hAnsi="宋体" w:cs="宋体"/>
                <w:sz w:val="24"/>
                <w:szCs w:val="24"/>
              </w:rPr>
            </w:pPr>
          </w:p>
        </w:tc>
        <w:tc>
          <w:tcPr>
            <w:tcW w:w="1226" w:type="pct"/>
            <w:gridSpan w:val="3"/>
            <w:tcBorders>
              <w:left w:val="single" w:color="000000" w:sz="4" w:space="0"/>
            </w:tcBorders>
          </w:tcPr>
          <w:p w14:paraId="13A10CED">
            <w:pPr>
              <w:spacing w:before="150" w:line="227" w:lineRule="auto"/>
              <w:ind w:left="184"/>
              <w:rPr>
                <w:rFonts w:hint="eastAsia" w:ascii="宋体" w:hAnsi="宋体" w:cs="宋体"/>
                <w:sz w:val="24"/>
                <w:szCs w:val="24"/>
              </w:rPr>
            </w:pPr>
            <w:r>
              <w:rPr>
                <w:rFonts w:hint="eastAsia" w:ascii="宋体" w:hAnsi="宋体" w:cs="宋体"/>
                <w:spacing w:val="13"/>
                <w:sz w:val="24"/>
                <w:szCs w:val="24"/>
              </w:rPr>
              <w:t>专</w:t>
            </w:r>
            <w:r>
              <w:rPr>
                <w:rFonts w:hint="eastAsia" w:ascii="宋体" w:hAnsi="宋体" w:cs="宋体"/>
                <w:spacing w:val="8"/>
                <w:sz w:val="24"/>
                <w:szCs w:val="24"/>
              </w:rPr>
              <w:t>业技术人员数量</w:t>
            </w:r>
          </w:p>
        </w:tc>
        <w:tc>
          <w:tcPr>
            <w:tcW w:w="544" w:type="pct"/>
            <w:tcBorders>
              <w:right w:val="single" w:color="000000" w:sz="10" w:space="0"/>
            </w:tcBorders>
          </w:tcPr>
          <w:p w14:paraId="247996F2">
            <w:pPr>
              <w:rPr>
                <w:rFonts w:hint="eastAsia" w:ascii="宋体" w:hAnsi="宋体" w:cs="宋体"/>
                <w:sz w:val="24"/>
                <w:szCs w:val="24"/>
              </w:rPr>
            </w:pPr>
          </w:p>
        </w:tc>
      </w:tr>
      <w:tr w14:paraId="589BE80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56" w:hRule="atLeast"/>
        </w:trPr>
        <w:tc>
          <w:tcPr>
            <w:tcW w:w="1234" w:type="pct"/>
            <w:vMerge w:val="continue"/>
            <w:tcBorders>
              <w:top w:val="nil"/>
              <w:left w:val="single" w:color="000000" w:sz="10" w:space="0"/>
              <w:right w:val="single" w:color="000000" w:sz="4" w:space="0"/>
            </w:tcBorders>
          </w:tcPr>
          <w:p w14:paraId="174A8F60">
            <w:pPr>
              <w:rPr>
                <w:rFonts w:hint="eastAsia" w:ascii="宋体" w:hAnsi="宋体" w:cs="宋体"/>
                <w:sz w:val="24"/>
                <w:szCs w:val="24"/>
              </w:rPr>
            </w:pPr>
          </w:p>
        </w:tc>
        <w:tc>
          <w:tcPr>
            <w:tcW w:w="611" w:type="pct"/>
            <w:vMerge w:val="continue"/>
            <w:tcBorders>
              <w:top w:val="nil"/>
              <w:left w:val="single" w:color="000000" w:sz="4" w:space="0"/>
              <w:right w:val="single" w:color="000000" w:sz="4" w:space="0"/>
            </w:tcBorders>
          </w:tcPr>
          <w:p w14:paraId="226B0E99">
            <w:pPr>
              <w:rPr>
                <w:rFonts w:hint="eastAsia" w:ascii="宋体" w:hAnsi="宋体" w:cs="宋体"/>
                <w:sz w:val="24"/>
                <w:szCs w:val="24"/>
              </w:rPr>
            </w:pPr>
          </w:p>
        </w:tc>
        <w:tc>
          <w:tcPr>
            <w:tcW w:w="921" w:type="pct"/>
            <w:gridSpan w:val="2"/>
            <w:tcBorders>
              <w:left w:val="single" w:color="000000" w:sz="4" w:space="0"/>
              <w:right w:val="single" w:color="000000" w:sz="4" w:space="0"/>
            </w:tcBorders>
          </w:tcPr>
          <w:p w14:paraId="001BCA52">
            <w:pPr>
              <w:spacing w:before="161" w:line="227" w:lineRule="auto"/>
              <w:ind w:left="251"/>
              <w:rPr>
                <w:rFonts w:hint="eastAsia" w:ascii="宋体" w:hAnsi="宋体" w:cs="宋体"/>
                <w:sz w:val="24"/>
                <w:szCs w:val="24"/>
              </w:rPr>
            </w:pPr>
            <w:r>
              <w:rPr>
                <w:rFonts w:hint="eastAsia" w:ascii="宋体" w:hAnsi="宋体" w:cs="宋体"/>
                <w:spacing w:val="8"/>
                <w:sz w:val="24"/>
                <w:szCs w:val="24"/>
              </w:rPr>
              <w:t>残疾人数量</w:t>
            </w:r>
          </w:p>
        </w:tc>
        <w:tc>
          <w:tcPr>
            <w:tcW w:w="461" w:type="pct"/>
            <w:tcBorders>
              <w:left w:val="single" w:color="000000" w:sz="4" w:space="0"/>
              <w:right w:val="single" w:color="000000" w:sz="4" w:space="0"/>
            </w:tcBorders>
          </w:tcPr>
          <w:p w14:paraId="452D4AE2">
            <w:pPr>
              <w:rPr>
                <w:rFonts w:hint="eastAsia" w:ascii="宋体" w:hAnsi="宋体" w:cs="宋体"/>
                <w:sz w:val="24"/>
                <w:szCs w:val="24"/>
              </w:rPr>
            </w:pPr>
          </w:p>
        </w:tc>
        <w:tc>
          <w:tcPr>
            <w:tcW w:w="1226" w:type="pct"/>
            <w:gridSpan w:val="3"/>
            <w:tcBorders>
              <w:left w:val="single" w:color="000000" w:sz="4" w:space="0"/>
            </w:tcBorders>
          </w:tcPr>
          <w:p w14:paraId="759EA88D">
            <w:pPr>
              <w:spacing w:before="161" w:line="227" w:lineRule="auto"/>
              <w:ind w:left="424"/>
              <w:rPr>
                <w:rFonts w:hint="eastAsia" w:ascii="宋体" w:hAnsi="宋体" w:cs="宋体"/>
                <w:sz w:val="24"/>
                <w:szCs w:val="24"/>
              </w:rPr>
            </w:pPr>
            <w:r>
              <w:rPr>
                <w:rFonts w:hint="eastAsia" w:ascii="宋体" w:hAnsi="宋体" w:cs="宋体"/>
                <w:spacing w:val="9"/>
                <w:sz w:val="24"/>
                <w:szCs w:val="24"/>
              </w:rPr>
              <w:t>少</w:t>
            </w:r>
            <w:r>
              <w:rPr>
                <w:rFonts w:hint="eastAsia" w:ascii="宋体" w:hAnsi="宋体" w:cs="宋体"/>
                <w:spacing w:val="8"/>
                <w:sz w:val="24"/>
                <w:szCs w:val="24"/>
              </w:rPr>
              <w:t>数民族数量</w:t>
            </w:r>
          </w:p>
        </w:tc>
        <w:tc>
          <w:tcPr>
            <w:tcW w:w="544" w:type="pct"/>
            <w:tcBorders>
              <w:right w:val="single" w:color="000000" w:sz="10" w:space="0"/>
            </w:tcBorders>
          </w:tcPr>
          <w:p w14:paraId="62B51963">
            <w:pPr>
              <w:rPr>
                <w:rFonts w:hint="eastAsia" w:ascii="宋体" w:hAnsi="宋体" w:cs="宋体"/>
                <w:sz w:val="24"/>
                <w:szCs w:val="24"/>
              </w:rPr>
            </w:pPr>
          </w:p>
        </w:tc>
      </w:tr>
      <w:tr w14:paraId="3966913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97" w:hRule="atLeast"/>
        </w:trPr>
        <w:tc>
          <w:tcPr>
            <w:tcW w:w="5000" w:type="pct"/>
            <w:gridSpan w:val="9"/>
            <w:tcBorders>
              <w:left w:val="single" w:color="000000" w:sz="10" w:space="0"/>
              <w:right w:val="single" w:color="000000" w:sz="10" w:space="0"/>
            </w:tcBorders>
            <w:shd w:val="clear" w:color="auto" w:fill="F1F1F1"/>
          </w:tcPr>
          <w:p w14:paraId="7020E7B9">
            <w:pPr>
              <w:spacing w:before="231" w:line="227" w:lineRule="auto"/>
              <w:ind w:left="2685"/>
              <w:rPr>
                <w:rFonts w:hint="eastAsia" w:ascii="宋体" w:hAnsi="宋体" w:cs="宋体"/>
                <w:sz w:val="24"/>
                <w:szCs w:val="24"/>
              </w:rPr>
            </w:pPr>
            <w:r>
              <w:rPr>
                <w:rFonts w:hint="eastAsia" w:ascii="宋体" w:hAnsi="宋体" w:cs="宋体"/>
                <w:spacing w:val="16"/>
                <w:sz w:val="24"/>
                <w:szCs w:val="24"/>
              </w:rPr>
              <w:t>存</w:t>
            </w:r>
            <w:r>
              <w:rPr>
                <w:rFonts w:hint="eastAsia" w:ascii="宋体" w:hAnsi="宋体" w:cs="宋体"/>
                <w:spacing w:val="9"/>
                <w:sz w:val="24"/>
                <w:szCs w:val="24"/>
              </w:rPr>
              <w:t>在直接控股、管理关系的相关单位</w:t>
            </w:r>
          </w:p>
        </w:tc>
      </w:tr>
      <w:tr w14:paraId="3621AFA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39" w:hRule="atLeast"/>
        </w:trPr>
        <w:tc>
          <w:tcPr>
            <w:tcW w:w="1234" w:type="pct"/>
            <w:tcBorders>
              <w:left w:val="single" w:color="000000" w:sz="10" w:space="0"/>
              <w:right w:val="single" w:color="000000" w:sz="4" w:space="0"/>
            </w:tcBorders>
          </w:tcPr>
          <w:p w14:paraId="2EDE4300">
            <w:pPr>
              <w:snapToGrid w:val="0"/>
              <w:spacing w:before="229" w:line="228" w:lineRule="auto"/>
              <w:ind w:left="897"/>
              <w:rPr>
                <w:rFonts w:hint="eastAsia" w:ascii="宋体" w:hAnsi="宋体" w:cs="宋体"/>
                <w:sz w:val="24"/>
                <w:szCs w:val="24"/>
              </w:rPr>
            </w:pPr>
            <w:r>
              <w:rPr>
                <w:rFonts w:hint="eastAsia" w:ascii="宋体" w:hAnsi="宋体" w:cs="宋体"/>
                <w:spacing w:val="3"/>
                <w:sz w:val="24"/>
                <w:szCs w:val="24"/>
              </w:rPr>
              <w:t>关系</w:t>
            </w:r>
          </w:p>
        </w:tc>
        <w:tc>
          <w:tcPr>
            <w:tcW w:w="3765" w:type="pct"/>
            <w:gridSpan w:val="8"/>
            <w:tcBorders>
              <w:left w:val="single" w:color="000000" w:sz="4" w:space="0"/>
              <w:right w:val="single" w:color="000000" w:sz="10" w:space="0"/>
            </w:tcBorders>
          </w:tcPr>
          <w:p w14:paraId="1FBD242E">
            <w:pPr>
              <w:snapToGrid w:val="0"/>
              <w:spacing w:before="229" w:line="228" w:lineRule="auto"/>
              <w:ind w:left="2992"/>
              <w:rPr>
                <w:rFonts w:hint="eastAsia" w:ascii="宋体" w:hAnsi="宋体" w:cs="宋体"/>
                <w:sz w:val="24"/>
                <w:szCs w:val="24"/>
              </w:rPr>
            </w:pPr>
            <w:r>
              <w:rPr>
                <w:rFonts w:hint="eastAsia" w:ascii="宋体" w:hAnsi="宋体" w:cs="宋体"/>
                <w:spacing w:val="7"/>
                <w:sz w:val="24"/>
                <w:szCs w:val="24"/>
              </w:rPr>
              <w:t>单位名称</w:t>
            </w:r>
          </w:p>
        </w:tc>
      </w:tr>
      <w:tr w14:paraId="76A181D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96" w:hRule="atLeast"/>
        </w:trPr>
        <w:tc>
          <w:tcPr>
            <w:tcW w:w="1234" w:type="pct"/>
            <w:tcBorders>
              <w:left w:val="single" w:color="000000" w:sz="10" w:space="0"/>
              <w:right w:val="single" w:color="000000" w:sz="4" w:space="0"/>
            </w:tcBorders>
          </w:tcPr>
          <w:p w14:paraId="455BB929">
            <w:pPr>
              <w:rPr>
                <w:rFonts w:hint="eastAsia" w:ascii="宋体" w:hAnsi="宋体" w:cs="宋体"/>
                <w:sz w:val="24"/>
                <w:szCs w:val="24"/>
              </w:rPr>
            </w:pPr>
          </w:p>
        </w:tc>
        <w:tc>
          <w:tcPr>
            <w:tcW w:w="3765" w:type="pct"/>
            <w:gridSpan w:val="8"/>
            <w:tcBorders>
              <w:left w:val="single" w:color="000000" w:sz="4" w:space="0"/>
              <w:right w:val="single" w:color="000000" w:sz="10" w:space="0"/>
            </w:tcBorders>
          </w:tcPr>
          <w:p w14:paraId="6ADB3588">
            <w:pPr>
              <w:rPr>
                <w:rFonts w:hint="eastAsia" w:ascii="宋体" w:hAnsi="宋体" w:cs="宋体"/>
                <w:sz w:val="24"/>
                <w:szCs w:val="24"/>
              </w:rPr>
            </w:pPr>
          </w:p>
        </w:tc>
      </w:tr>
      <w:tr w14:paraId="003E13B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08" w:hRule="atLeast"/>
        </w:trPr>
        <w:tc>
          <w:tcPr>
            <w:tcW w:w="1234" w:type="pct"/>
            <w:tcBorders>
              <w:left w:val="single" w:color="000000" w:sz="10" w:space="0"/>
              <w:right w:val="single" w:color="000000" w:sz="4" w:space="0"/>
            </w:tcBorders>
          </w:tcPr>
          <w:p w14:paraId="2CFFE503">
            <w:pPr>
              <w:rPr>
                <w:rFonts w:hint="eastAsia" w:ascii="宋体" w:hAnsi="宋体" w:cs="宋体"/>
                <w:sz w:val="24"/>
                <w:szCs w:val="24"/>
              </w:rPr>
            </w:pPr>
          </w:p>
        </w:tc>
        <w:tc>
          <w:tcPr>
            <w:tcW w:w="3765" w:type="pct"/>
            <w:gridSpan w:val="8"/>
            <w:tcBorders>
              <w:left w:val="single" w:color="000000" w:sz="4" w:space="0"/>
              <w:right w:val="single" w:color="000000" w:sz="10" w:space="0"/>
            </w:tcBorders>
          </w:tcPr>
          <w:p w14:paraId="700162F4">
            <w:pPr>
              <w:rPr>
                <w:rFonts w:hint="eastAsia" w:ascii="宋体" w:hAnsi="宋体" w:cs="宋体"/>
                <w:sz w:val="24"/>
                <w:szCs w:val="24"/>
              </w:rPr>
            </w:pPr>
          </w:p>
        </w:tc>
      </w:tr>
    </w:tbl>
    <w:p w14:paraId="68863A40">
      <w:pPr>
        <w:rPr>
          <w:rFonts w:hint="eastAsia" w:ascii="宋体" w:hAnsi="宋体" w:cs="宋体"/>
          <w:sz w:val="24"/>
          <w:szCs w:val="24"/>
        </w:rPr>
      </w:pPr>
      <w:r>
        <w:rPr>
          <w:rFonts w:ascii="宋体" w:hAnsi="宋体" w:cs="宋体"/>
          <w:spacing w:val="2"/>
          <w:sz w:val="24"/>
          <w:szCs w:val="24"/>
        </w:rPr>
        <w:t>说</w:t>
      </w:r>
      <w:r>
        <w:rPr>
          <w:rFonts w:ascii="宋体" w:hAnsi="宋体" w:cs="宋体"/>
          <w:spacing w:val="1"/>
          <w:sz w:val="24"/>
          <w:szCs w:val="24"/>
        </w:rPr>
        <w:t xml:space="preserve">明： </w:t>
      </w:r>
      <w:r>
        <w:rPr>
          <w:rFonts w:hint="eastAsia" w:ascii="宋体" w:hAnsi="宋体" w:cs="宋体"/>
          <w:sz w:val="24"/>
          <w:szCs w:val="24"/>
        </w:rPr>
        <w:t xml:space="preserve"> 1.成立时间至提交投标文件截止时间不足一年的可不填写“上年度营业收入”； </w:t>
      </w:r>
    </w:p>
    <w:p w14:paraId="00759800">
      <w:pPr>
        <w:ind w:firstLine="960" w:firstLineChars="400"/>
        <w:rPr>
          <w:rFonts w:hint="eastAsia" w:ascii="宋体" w:hAnsi="宋体" w:cs="宋体"/>
          <w:sz w:val="24"/>
          <w:szCs w:val="24"/>
        </w:rPr>
      </w:pPr>
      <w:r>
        <w:rPr>
          <w:rFonts w:hint="eastAsia" w:ascii="宋体" w:hAnsi="宋体" w:cs="宋体"/>
          <w:sz w:val="24"/>
          <w:szCs w:val="24"/>
        </w:rPr>
        <w:t>2.表格空间不足时，请自行扩展。</w:t>
      </w:r>
    </w:p>
    <w:p w14:paraId="3A54E555">
      <w:pPr>
        <w:autoSpaceDE w:val="0"/>
        <w:autoSpaceDN w:val="0"/>
        <w:adjustRightInd w:val="0"/>
        <w:jc w:val="center"/>
        <w:rPr>
          <w:rFonts w:hint="eastAsia" w:ascii="宋体" w:hAnsi="宋体" w:cs="宋体"/>
          <w:b/>
          <w:bCs/>
          <w:color w:val="000000"/>
          <w:sz w:val="28"/>
          <w:szCs w:val="28"/>
          <w:lang w:val="zh-CN"/>
        </w:rPr>
      </w:pPr>
    </w:p>
    <w:p w14:paraId="65EEC399">
      <w:pPr>
        <w:autoSpaceDE w:val="0"/>
        <w:autoSpaceDN w:val="0"/>
        <w:adjustRightInd w:val="0"/>
        <w:jc w:val="center"/>
        <w:rPr>
          <w:rFonts w:hint="eastAsia" w:ascii="宋体" w:hAnsi="宋体" w:cs="宋体"/>
          <w:b/>
          <w:bCs/>
          <w:color w:val="000000"/>
          <w:sz w:val="28"/>
          <w:szCs w:val="28"/>
          <w:lang w:val="zh-CN"/>
        </w:rPr>
      </w:pPr>
    </w:p>
    <w:p w14:paraId="13D2A218">
      <w:pPr>
        <w:autoSpaceDE w:val="0"/>
        <w:autoSpaceDN w:val="0"/>
        <w:adjustRightInd w:val="0"/>
        <w:jc w:val="center"/>
        <w:rPr>
          <w:rFonts w:hint="eastAsia" w:ascii="宋体" w:hAnsi="宋体" w:cs="宋体"/>
          <w:b/>
          <w:bCs/>
          <w:color w:val="000000"/>
          <w:sz w:val="28"/>
          <w:szCs w:val="28"/>
          <w:lang w:val="zh-CN"/>
        </w:rPr>
      </w:pPr>
    </w:p>
    <w:p w14:paraId="12A14093">
      <w:pPr>
        <w:autoSpaceDE w:val="0"/>
        <w:autoSpaceDN w:val="0"/>
        <w:adjustRightInd w:val="0"/>
        <w:jc w:val="center"/>
        <w:rPr>
          <w:rFonts w:hint="eastAsia" w:ascii="宋体" w:hAnsi="宋体" w:cs="宋体"/>
          <w:b/>
          <w:bCs/>
          <w:color w:val="000000"/>
          <w:sz w:val="28"/>
          <w:szCs w:val="28"/>
        </w:rPr>
      </w:pPr>
      <w:bookmarkStart w:id="28" w:name="_Toc11351"/>
      <w:bookmarkStart w:id="29" w:name="_Toc558"/>
    </w:p>
    <w:p w14:paraId="4F36F050">
      <w:pPr>
        <w:autoSpaceDE w:val="0"/>
        <w:autoSpaceDN w:val="0"/>
        <w:adjustRightInd w:val="0"/>
        <w:jc w:val="center"/>
        <w:rPr>
          <w:rFonts w:hint="eastAsia" w:ascii="宋体" w:hAnsi="宋体" w:cs="宋体"/>
          <w:b/>
          <w:bCs/>
          <w:color w:val="000000"/>
          <w:sz w:val="28"/>
          <w:szCs w:val="28"/>
        </w:rPr>
      </w:pPr>
    </w:p>
    <w:p w14:paraId="09AE0DA6">
      <w:pPr>
        <w:autoSpaceDE w:val="0"/>
        <w:autoSpaceDN w:val="0"/>
        <w:adjustRightInd w:val="0"/>
        <w:jc w:val="center"/>
        <w:rPr>
          <w:rFonts w:hint="eastAsia" w:ascii="宋体" w:hAnsi="宋体" w:cs="宋体"/>
          <w:b/>
          <w:bCs/>
          <w:color w:val="000000"/>
          <w:sz w:val="28"/>
          <w:szCs w:val="28"/>
          <w:lang w:val="zh-CN"/>
        </w:rPr>
      </w:pPr>
      <w:r>
        <w:rPr>
          <w:rFonts w:hint="eastAsia" w:ascii="宋体" w:hAnsi="宋体" w:cs="宋体"/>
          <w:b/>
          <w:bCs/>
          <w:color w:val="000000"/>
          <w:sz w:val="28"/>
          <w:szCs w:val="28"/>
        </w:rPr>
        <w:t>二、</w:t>
      </w:r>
      <w:r>
        <w:rPr>
          <w:rFonts w:hint="eastAsia" w:ascii="宋体" w:hAnsi="宋体" w:cs="宋体"/>
          <w:b/>
          <w:bCs/>
          <w:color w:val="000000"/>
          <w:sz w:val="28"/>
          <w:szCs w:val="28"/>
          <w:lang w:val="zh-CN"/>
        </w:rPr>
        <w:t>法定代表人身份证明</w:t>
      </w:r>
      <w:bookmarkEnd w:id="28"/>
      <w:bookmarkEnd w:id="29"/>
    </w:p>
    <w:p w14:paraId="754E51F3">
      <w:pPr>
        <w:autoSpaceDE w:val="0"/>
        <w:autoSpaceDN w:val="0"/>
        <w:adjustRightInd w:val="0"/>
        <w:spacing w:line="500" w:lineRule="exact"/>
        <w:rPr>
          <w:rFonts w:hint="eastAsia" w:hAnsi="宋体" w:cs="宋体"/>
          <w:szCs w:val="18"/>
          <w:lang w:val="zh-CN"/>
        </w:rPr>
      </w:pPr>
    </w:p>
    <w:p w14:paraId="58AABD67">
      <w:pPr>
        <w:spacing w:before="190" w:line="219" w:lineRule="auto"/>
        <w:ind w:left="122"/>
        <w:rPr>
          <w:rFonts w:hint="eastAsia" w:ascii="宋体" w:hAnsi="宋体" w:cs="宋体"/>
          <w:sz w:val="24"/>
          <w:szCs w:val="24"/>
        </w:rPr>
      </w:pPr>
      <w:r>
        <w:rPr>
          <w:rFonts w:hint="eastAsia" w:ascii="宋体" w:hAnsi="宋体" w:cs="宋体"/>
          <w:spacing w:val="-18"/>
          <w:sz w:val="24"/>
          <w:szCs w:val="24"/>
        </w:rPr>
        <w:t>致</w:t>
      </w:r>
      <w:r>
        <w:rPr>
          <w:rFonts w:hint="eastAsia" w:ascii="宋体" w:hAnsi="宋体" w:cs="宋体"/>
          <w:spacing w:val="-11"/>
          <w:sz w:val="24"/>
          <w:szCs w:val="24"/>
        </w:rPr>
        <w:t>：</w:t>
      </w:r>
      <w:r>
        <w:rPr>
          <w:rFonts w:hint="eastAsia" w:ascii="宋体" w:hAnsi="宋体" w:cs="宋体"/>
          <w:spacing w:val="-9"/>
          <w:sz w:val="24"/>
          <w:szCs w:val="24"/>
          <w:u w:val="single"/>
        </w:rPr>
        <w:t xml:space="preserve"> (采购人或采购代理机构)</w:t>
      </w:r>
      <w:r>
        <w:rPr>
          <w:rFonts w:hint="eastAsia" w:ascii="宋体" w:hAnsi="宋体" w:cs="宋体"/>
          <w:sz w:val="24"/>
          <w:szCs w:val="24"/>
          <w:u w:val="single"/>
        </w:rPr>
        <w:t xml:space="preserve"> </w:t>
      </w:r>
    </w:p>
    <w:p w14:paraId="29310870">
      <w:pPr>
        <w:spacing w:line="247" w:lineRule="auto"/>
        <w:rPr>
          <w:rFonts w:hint="eastAsia" w:ascii="宋体" w:hAnsi="宋体" w:cs="宋体"/>
          <w:sz w:val="24"/>
          <w:szCs w:val="24"/>
        </w:rPr>
      </w:pPr>
    </w:p>
    <w:p w14:paraId="591D795E">
      <w:pPr>
        <w:spacing w:before="78" w:line="220" w:lineRule="auto"/>
        <w:ind w:left="606"/>
        <w:rPr>
          <w:rFonts w:hint="eastAsia" w:ascii="宋体" w:hAnsi="宋体" w:cs="宋体"/>
          <w:sz w:val="24"/>
          <w:szCs w:val="24"/>
        </w:rPr>
      </w:pPr>
      <w:r>
        <w:rPr>
          <w:rFonts w:hint="eastAsia" w:ascii="宋体" w:hAnsi="宋体" w:cs="宋体"/>
          <w:spacing w:val="-13"/>
          <w:sz w:val="24"/>
          <w:szCs w:val="24"/>
        </w:rPr>
        <w:t>兹</w:t>
      </w:r>
      <w:r>
        <w:rPr>
          <w:rFonts w:hint="eastAsia" w:ascii="宋体" w:hAnsi="宋体" w:cs="宋体"/>
          <w:spacing w:val="-12"/>
          <w:sz w:val="24"/>
          <w:szCs w:val="24"/>
        </w:rPr>
        <w:t>证明，</w:t>
      </w:r>
    </w:p>
    <w:p w14:paraId="5AC5EC54">
      <w:pPr>
        <w:spacing w:before="170" w:line="217" w:lineRule="auto"/>
        <w:ind w:left="122"/>
        <w:rPr>
          <w:rFonts w:hint="eastAsia" w:ascii="宋体" w:hAnsi="宋体" w:cs="宋体"/>
          <w:sz w:val="24"/>
          <w:szCs w:val="24"/>
        </w:rPr>
      </w:pPr>
      <w:r>
        <w:rPr>
          <w:rFonts w:hint="eastAsia" w:ascii="宋体" w:hAnsi="宋体" w:cs="宋体"/>
          <w:spacing w:val="-40"/>
          <w:sz w:val="24"/>
          <w:szCs w:val="24"/>
        </w:rPr>
        <w:t>姓</w:t>
      </w:r>
      <w:r>
        <w:rPr>
          <w:rFonts w:hint="eastAsia" w:ascii="宋体" w:hAnsi="宋体" w:cs="宋体"/>
          <w:spacing w:val="-21"/>
          <w:sz w:val="24"/>
          <w:szCs w:val="24"/>
        </w:rPr>
        <w:t>名： ____性别： ____年龄： ____职务： ____</w:t>
      </w:r>
    </w:p>
    <w:p w14:paraId="760842E8">
      <w:pPr>
        <w:spacing w:line="273" w:lineRule="auto"/>
        <w:rPr>
          <w:rFonts w:hint="eastAsia" w:ascii="宋体" w:hAnsi="宋体" w:cs="宋体"/>
          <w:sz w:val="24"/>
          <w:szCs w:val="24"/>
        </w:rPr>
      </w:pPr>
    </w:p>
    <w:p w14:paraId="35FBA9CE">
      <w:pPr>
        <w:spacing w:line="273" w:lineRule="auto"/>
        <w:rPr>
          <w:rFonts w:hint="eastAsia" w:ascii="宋体" w:hAnsi="宋体" w:cs="宋体"/>
          <w:sz w:val="24"/>
          <w:szCs w:val="24"/>
        </w:rPr>
      </w:pPr>
    </w:p>
    <w:p w14:paraId="12AE107E">
      <w:pPr>
        <w:spacing w:before="78" w:line="220" w:lineRule="auto"/>
        <w:ind w:left="127"/>
        <w:rPr>
          <w:rFonts w:hint="eastAsia" w:ascii="宋体" w:hAnsi="宋体" w:cs="宋体"/>
          <w:sz w:val="24"/>
          <w:szCs w:val="24"/>
        </w:rPr>
      </w:pPr>
      <w:r>
        <w:rPr>
          <w:rFonts w:hint="eastAsia" w:ascii="宋体" w:hAnsi="宋体" w:cs="宋体"/>
          <w:spacing w:val="14"/>
          <w:sz w:val="24"/>
          <w:szCs w:val="24"/>
        </w:rPr>
        <w:t>系</w:t>
      </w:r>
      <w:r>
        <w:rPr>
          <w:rFonts w:hint="eastAsia" w:ascii="宋体" w:hAnsi="宋体" w:cs="宋体"/>
          <w:spacing w:val="14"/>
          <w:sz w:val="24"/>
          <w:szCs w:val="24"/>
          <w:u w:val="single"/>
        </w:rPr>
        <w:t xml:space="preserve">  </w:t>
      </w:r>
      <w:r>
        <w:rPr>
          <w:rFonts w:hint="eastAsia" w:ascii="宋体" w:hAnsi="宋体" w:cs="宋体"/>
          <w:spacing w:val="12"/>
          <w:sz w:val="24"/>
          <w:szCs w:val="24"/>
          <w:u w:val="single"/>
        </w:rPr>
        <w:t xml:space="preserve"> </w:t>
      </w:r>
      <w:r>
        <w:rPr>
          <w:rFonts w:hint="eastAsia" w:ascii="宋体" w:hAnsi="宋体" w:cs="宋体"/>
          <w:spacing w:val="7"/>
          <w:sz w:val="24"/>
          <w:szCs w:val="24"/>
          <w:u w:val="single"/>
        </w:rPr>
        <w:t xml:space="preserve">             </w:t>
      </w:r>
      <w:r>
        <w:rPr>
          <w:rFonts w:hint="eastAsia" w:ascii="宋体" w:hAnsi="宋体" w:cs="宋体"/>
          <w:spacing w:val="7"/>
          <w:sz w:val="24"/>
          <w:szCs w:val="24"/>
        </w:rPr>
        <w:t xml:space="preserve"> (投标人名称)的法定代表人(单位负责人)。</w:t>
      </w:r>
    </w:p>
    <w:p w14:paraId="3ABB5E48">
      <w:pPr>
        <w:spacing w:line="258" w:lineRule="auto"/>
        <w:rPr>
          <w:rFonts w:hint="eastAsia" w:ascii="宋体" w:hAnsi="宋体" w:cs="宋体"/>
          <w:sz w:val="24"/>
          <w:szCs w:val="24"/>
        </w:rPr>
      </w:pPr>
    </w:p>
    <w:p w14:paraId="411CC5F3">
      <w:pPr>
        <w:spacing w:line="258" w:lineRule="auto"/>
        <w:rPr>
          <w:rFonts w:hint="eastAsia" w:ascii="宋体" w:hAnsi="宋体" w:cs="宋体"/>
          <w:sz w:val="24"/>
          <w:szCs w:val="24"/>
        </w:rPr>
      </w:pPr>
    </w:p>
    <w:p w14:paraId="07E2D44C">
      <w:pPr>
        <w:spacing w:before="78" w:line="219" w:lineRule="auto"/>
        <w:ind w:left="141"/>
        <w:rPr>
          <w:rFonts w:hint="eastAsia" w:ascii="宋体" w:hAnsi="宋体" w:cs="宋体"/>
          <w:sz w:val="24"/>
          <w:szCs w:val="24"/>
        </w:rPr>
      </w:pPr>
      <w:r>
        <w:rPr>
          <w:rFonts w:hint="eastAsia" w:ascii="宋体" w:hAnsi="宋体" w:cs="宋体"/>
          <w:spacing w:val="7"/>
          <w:sz w:val="24"/>
          <w:szCs w:val="24"/>
        </w:rPr>
        <w:t>附</w:t>
      </w:r>
      <w:r>
        <w:rPr>
          <w:rFonts w:hint="eastAsia" w:ascii="宋体" w:hAnsi="宋体" w:cs="宋体"/>
          <w:spacing w:val="5"/>
          <w:sz w:val="24"/>
          <w:szCs w:val="24"/>
        </w:rPr>
        <w:t>：法定代表人身份证双面电子件：</w:t>
      </w:r>
    </w:p>
    <w:p w14:paraId="23F712FF">
      <w:pPr>
        <w:spacing w:line="431" w:lineRule="auto"/>
        <w:rPr>
          <w:rFonts w:hint="eastAsia" w:ascii="宋体" w:hAnsi="宋体" w:cs="宋体"/>
          <w:sz w:val="24"/>
          <w:szCs w:val="24"/>
        </w:rPr>
      </w:pPr>
    </w:p>
    <w:p w14:paraId="58A07AA1">
      <w:pPr>
        <w:spacing w:line="2287" w:lineRule="exact"/>
        <w:textAlignment w:val="center"/>
        <w:rPr>
          <w:rFonts w:hint="eastAsia" w:ascii="宋体" w:hAnsi="宋体" w:cs="宋体"/>
          <w:sz w:val="24"/>
          <w:szCs w:val="24"/>
        </w:rPr>
      </w:pPr>
      <w:r>
        <w:rPr>
          <w:rFonts w:hint="eastAsia" w:ascii="宋体" w:hAnsi="宋体" w:cs="宋体"/>
          <w:sz w:val="24"/>
          <w:szCs w:val="24"/>
        </w:rPr>
        <w:drawing>
          <wp:inline distT="0" distB="0" distL="0" distR="0">
            <wp:extent cx="5760720" cy="1451610"/>
            <wp:effectExtent l="0" t="0" r="11430" b="15240"/>
            <wp:docPr id="53" name="IM 49"/>
            <wp:cNvGraphicFramePr/>
            <a:graphic xmlns:a="http://schemas.openxmlformats.org/drawingml/2006/main">
              <a:graphicData uri="http://schemas.openxmlformats.org/drawingml/2006/picture">
                <pic:pic xmlns:pic="http://schemas.openxmlformats.org/drawingml/2006/picture">
                  <pic:nvPicPr>
                    <pic:cNvPr id="53" name="IM 49"/>
                    <pic:cNvPicPr/>
                  </pic:nvPicPr>
                  <pic:blipFill>
                    <a:blip r:embed="rId23"/>
                    <a:stretch>
                      <a:fillRect/>
                    </a:stretch>
                  </pic:blipFill>
                  <pic:spPr>
                    <a:xfrm>
                      <a:off x="0" y="0"/>
                      <a:ext cx="5760754" cy="1451974"/>
                    </a:xfrm>
                    <a:prstGeom prst="rect">
                      <a:avLst/>
                    </a:prstGeom>
                  </pic:spPr>
                </pic:pic>
              </a:graphicData>
            </a:graphic>
          </wp:inline>
        </w:drawing>
      </w:r>
    </w:p>
    <w:p w14:paraId="1F8D62F5">
      <w:pPr>
        <w:spacing w:line="250" w:lineRule="auto"/>
        <w:rPr>
          <w:rFonts w:hint="eastAsia" w:ascii="宋体" w:hAnsi="宋体" w:cs="宋体"/>
          <w:sz w:val="24"/>
          <w:szCs w:val="24"/>
        </w:rPr>
      </w:pPr>
    </w:p>
    <w:p w14:paraId="0E1A1D22">
      <w:pPr>
        <w:spacing w:line="250" w:lineRule="auto"/>
        <w:rPr>
          <w:rFonts w:hint="eastAsia" w:ascii="宋体" w:hAnsi="宋体" w:cs="宋体"/>
          <w:sz w:val="24"/>
          <w:szCs w:val="24"/>
        </w:rPr>
      </w:pPr>
    </w:p>
    <w:p w14:paraId="1ADC69CF">
      <w:pPr>
        <w:spacing w:line="251" w:lineRule="auto"/>
        <w:rPr>
          <w:rFonts w:hint="eastAsia" w:ascii="宋体" w:hAnsi="宋体" w:cs="宋体"/>
          <w:sz w:val="24"/>
          <w:szCs w:val="24"/>
        </w:rPr>
      </w:pPr>
    </w:p>
    <w:p w14:paraId="14D3F67B">
      <w:pPr>
        <w:spacing w:before="78" w:line="219" w:lineRule="auto"/>
        <w:ind w:left="125"/>
        <w:rPr>
          <w:rFonts w:hint="eastAsia" w:ascii="宋体" w:hAnsi="宋体" w:cs="宋体"/>
          <w:sz w:val="24"/>
          <w:szCs w:val="24"/>
        </w:rPr>
      </w:pPr>
      <w:r>
        <w:rPr>
          <w:rFonts w:hint="eastAsia" w:ascii="宋体" w:hAnsi="宋体" w:cs="宋体"/>
          <w:spacing w:val="-6"/>
          <w:sz w:val="24"/>
          <w:szCs w:val="24"/>
        </w:rPr>
        <w:t>投标人</w:t>
      </w:r>
      <w:r>
        <w:rPr>
          <w:rFonts w:hint="eastAsia" w:ascii="宋体" w:hAnsi="宋体" w:cs="宋体"/>
          <w:spacing w:val="-5"/>
          <w:sz w:val="24"/>
          <w:szCs w:val="24"/>
        </w:rPr>
        <w:t>名</w:t>
      </w:r>
      <w:r>
        <w:rPr>
          <w:rFonts w:hint="eastAsia" w:ascii="宋体" w:hAnsi="宋体" w:cs="宋体"/>
          <w:spacing w:val="-3"/>
          <w:sz w:val="24"/>
          <w:szCs w:val="24"/>
        </w:rPr>
        <w:t>称(加盖公章)：________________</w:t>
      </w:r>
    </w:p>
    <w:p w14:paraId="22A37CB7">
      <w:pPr>
        <w:spacing w:before="303" w:line="219" w:lineRule="auto"/>
        <w:ind w:left="123"/>
        <w:rPr>
          <w:rFonts w:hint="eastAsia" w:ascii="宋体" w:hAnsi="宋体" w:cs="宋体"/>
          <w:sz w:val="24"/>
          <w:szCs w:val="24"/>
        </w:rPr>
      </w:pPr>
      <w:r>
        <w:rPr>
          <w:rFonts w:hint="eastAsia" w:ascii="宋体" w:hAnsi="宋体" w:cs="宋体"/>
          <w:spacing w:val="2"/>
          <w:sz w:val="24"/>
          <w:szCs w:val="24"/>
        </w:rPr>
        <w:t>法定代表人(签字或签章)：_____</w:t>
      </w:r>
      <w:r>
        <w:rPr>
          <w:rFonts w:hint="eastAsia" w:ascii="宋体" w:hAnsi="宋体" w:cs="宋体"/>
          <w:sz w:val="24"/>
          <w:szCs w:val="24"/>
        </w:rPr>
        <w:t>__</w:t>
      </w:r>
    </w:p>
    <w:p w14:paraId="74F43C83">
      <w:pPr>
        <w:spacing w:line="269" w:lineRule="auto"/>
        <w:rPr>
          <w:rFonts w:hint="eastAsia" w:ascii="宋体" w:hAnsi="宋体" w:cs="宋体"/>
          <w:sz w:val="24"/>
          <w:szCs w:val="24"/>
        </w:rPr>
      </w:pPr>
    </w:p>
    <w:p w14:paraId="58C26B18">
      <w:pPr>
        <w:spacing w:line="269" w:lineRule="auto"/>
        <w:rPr>
          <w:rFonts w:hint="eastAsia" w:ascii="宋体" w:hAnsi="宋体" w:cs="宋体"/>
          <w:sz w:val="24"/>
          <w:szCs w:val="24"/>
        </w:rPr>
      </w:pPr>
    </w:p>
    <w:p w14:paraId="35935B26">
      <w:pPr>
        <w:spacing w:line="270" w:lineRule="auto"/>
        <w:rPr>
          <w:rFonts w:hint="eastAsia" w:ascii="宋体" w:hAnsi="宋体" w:cs="宋体"/>
          <w:sz w:val="24"/>
          <w:szCs w:val="24"/>
        </w:rPr>
      </w:pPr>
    </w:p>
    <w:p w14:paraId="711C9C11">
      <w:pPr>
        <w:spacing w:before="79" w:line="217" w:lineRule="auto"/>
        <w:ind w:left="164"/>
        <w:rPr>
          <w:rFonts w:hint="eastAsia" w:ascii="宋体" w:hAnsi="宋体" w:cs="宋体"/>
          <w:sz w:val="24"/>
          <w:szCs w:val="24"/>
        </w:rPr>
      </w:pPr>
      <w:r>
        <w:rPr>
          <w:rFonts w:hint="eastAsia" w:ascii="宋体" w:hAnsi="宋体" w:cs="宋体"/>
          <w:spacing w:val="-32"/>
          <w:sz w:val="24"/>
          <w:szCs w:val="24"/>
        </w:rPr>
        <w:t>日</w:t>
      </w:r>
      <w:r>
        <w:rPr>
          <w:rFonts w:hint="eastAsia" w:ascii="宋体" w:hAnsi="宋体" w:cs="宋体"/>
          <w:spacing w:val="-16"/>
          <w:sz w:val="24"/>
          <w:szCs w:val="24"/>
        </w:rPr>
        <w:t>期： _____年______月______ 日</w:t>
      </w:r>
    </w:p>
    <w:p w14:paraId="719C1B27">
      <w:pPr>
        <w:rPr>
          <w:rFonts w:hint="eastAsia" w:ascii="宋体" w:hAnsi="宋体" w:cs="宋体"/>
          <w:sz w:val="24"/>
          <w:szCs w:val="24"/>
        </w:rPr>
        <w:sectPr>
          <w:headerReference r:id="rId12" w:type="default"/>
          <w:footerReference r:id="rId13" w:type="default"/>
          <w:pgSz w:w="11907" w:h="16840"/>
          <w:pgMar w:top="1440" w:right="1080" w:bottom="1440" w:left="1080" w:header="878" w:footer="886" w:gutter="0"/>
          <w:pgNumType w:start="1"/>
          <w:cols w:space="720" w:num="1"/>
        </w:sectPr>
      </w:pPr>
    </w:p>
    <w:p w14:paraId="0CCAA56D">
      <w:pPr>
        <w:autoSpaceDE w:val="0"/>
        <w:autoSpaceDN w:val="0"/>
        <w:adjustRightInd w:val="0"/>
        <w:jc w:val="center"/>
        <w:rPr>
          <w:rFonts w:hint="eastAsia" w:ascii="宋体" w:hAnsi="宋体" w:cs="宋体"/>
          <w:b/>
          <w:bCs/>
          <w:color w:val="000000"/>
          <w:sz w:val="28"/>
          <w:szCs w:val="28"/>
          <w:lang w:val="zh-CN"/>
        </w:rPr>
      </w:pPr>
      <w:r>
        <w:rPr>
          <w:rFonts w:hint="eastAsia" w:ascii="宋体" w:hAnsi="宋体" w:cs="宋体"/>
          <w:b/>
          <w:bCs/>
          <w:color w:val="000000"/>
          <w:sz w:val="28"/>
          <w:szCs w:val="28"/>
        </w:rPr>
        <w:t>三、</w:t>
      </w:r>
      <w:r>
        <w:rPr>
          <w:rFonts w:hint="eastAsia" w:ascii="宋体" w:hAnsi="宋体" w:cs="宋体"/>
          <w:b/>
          <w:bCs/>
          <w:color w:val="000000"/>
          <w:sz w:val="28"/>
          <w:szCs w:val="28"/>
          <w:lang w:val="zh-CN"/>
        </w:rPr>
        <w:t>法定代表人授权书</w:t>
      </w:r>
    </w:p>
    <w:p w14:paraId="5538FC9F">
      <w:pPr>
        <w:autoSpaceDE w:val="0"/>
        <w:autoSpaceDN w:val="0"/>
        <w:adjustRightInd w:val="0"/>
        <w:ind w:firstLine="480"/>
        <w:rPr>
          <w:rFonts w:hint="eastAsia" w:ascii="宋体" w:hAnsi="宋体" w:cs="宋体"/>
          <w:bCs/>
          <w:color w:val="000000"/>
          <w:szCs w:val="21"/>
          <w:lang w:val="zh-CN"/>
        </w:rPr>
      </w:pPr>
    </w:p>
    <w:p w14:paraId="0640382E">
      <w:pPr>
        <w:autoSpaceDE w:val="0"/>
        <w:autoSpaceDN w:val="0"/>
        <w:adjustRightInd w:val="0"/>
        <w:ind w:firstLine="480"/>
        <w:rPr>
          <w:rFonts w:hint="eastAsia" w:ascii="宋体" w:hAnsi="宋体" w:cs="宋体"/>
          <w:bCs/>
          <w:color w:val="000000"/>
          <w:szCs w:val="21"/>
          <w:lang w:val="zh-CN"/>
        </w:rPr>
      </w:pPr>
    </w:p>
    <w:p w14:paraId="68B7FD12">
      <w:pPr>
        <w:spacing w:before="78" w:line="359" w:lineRule="auto"/>
        <w:ind w:left="122" w:firstLine="420"/>
        <w:rPr>
          <w:rFonts w:hint="eastAsia" w:ascii="宋体" w:hAnsi="宋体" w:cs="宋体"/>
          <w:sz w:val="24"/>
          <w:szCs w:val="24"/>
        </w:rPr>
      </w:pPr>
      <w:r>
        <w:rPr>
          <w:rFonts w:hint="eastAsia" w:ascii="宋体" w:hAnsi="宋体" w:cs="宋体"/>
          <w:spacing w:val="-4"/>
          <w:sz w:val="24"/>
          <w:szCs w:val="24"/>
        </w:rPr>
        <w:t>本人_______ (姓名) 系________________ (投标人名称) 的法定代表人，</w:t>
      </w:r>
      <w:r>
        <w:rPr>
          <w:rFonts w:hint="eastAsia" w:ascii="宋体" w:hAnsi="宋体" w:cs="宋体"/>
          <w:spacing w:val="-5"/>
          <w:sz w:val="24"/>
          <w:szCs w:val="24"/>
        </w:rPr>
        <w:t>现委托_______ (姓名) 为我方代理人。代理人根据授权，以我方名义签署、</w:t>
      </w:r>
      <w:r>
        <w:rPr>
          <w:rFonts w:hint="eastAsia" w:ascii="宋体" w:hAnsi="宋体" w:cs="宋体"/>
          <w:spacing w:val="-3"/>
          <w:sz w:val="24"/>
          <w:szCs w:val="24"/>
        </w:rPr>
        <w:t>澄</w:t>
      </w:r>
      <w:r>
        <w:rPr>
          <w:rFonts w:hint="eastAsia" w:ascii="宋体" w:hAnsi="宋体" w:cs="宋体"/>
          <w:sz w:val="24"/>
          <w:szCs w:val="24"/>
        </w:rPr>
        <w:t xml:space="preserve">清 </w:t>
      </w:r>
      <w:r>
        <w:rPr>
          <w:rFonts w:hint="eastAsia" w:ascii="宋体" w:hAnsi="宋体" w:cs="宋体"/>
          <w:spacing w:val="-7"/>
          <w:sz w:val="24"/>
          <w:szCs w:val="24"/>
        </w:rPr>
        <w:t>确认、提交、撤回、修改________________ (项目名称) 投标文件和处理有关事宜，</w:t>
      </w:r>
      <w:r>
        <w:rPr>
          <w:rFonts w:hint="eastAsia" w:ascii="宋体" w:hAnsi="宋体" w:cs="宋体"/>
          <w:spacing w:val="-4"/>
          <w:sz w:val="24"/>
          <w:szCs w:val="24"/>
        </w:rPr>
        <w:t>其法律后果由我方承担</w:t>
      </w:r>
      <w:r>
        <w:rPr>
          <w:rFonts w:hint="eastAsia" w:ascii="宋体" w:hAnsi="宋体" w:cs="宋体"/>
          <w:spacing w:val="-3"/>
          <w:sz w:val="24"/>
          <w:szCs w:val="24"/>
        </w:rPr>
        <w:t>。</w:t>
      </w:r>
    </w:p>
    <w:p w14:paraId="75749CDD">
      <w:pPr>
        <w:spacing w:before="1" w:line="368" w:lineRule="auto"/>
        <w:ind w:left="541" w:right="1726"/>
        <w:rPr>
          <w:rFonts w:hint="eastAsia" w:ascii="宋体" w:hAnsi="宋体" w:cs="宋体"/>
          <w:sz w:val="24"/>
          <w:szCs w:val="24"/>
        </w:rPr>
      </w:pPr>
      <w:r>
        <w:rPr>
          <w:rFonts w:hint="eastAsia" w:ascii="宋体" w:hAnsi="宋体" w:cs="宋体"/>
          <w:spacing w:val="-2"/>
          <w:sz w:val="24"/>
          <w:szCs w:val="24"/>
        </w:rPr>
        <w:t>委托期限：自本授权委托书签</w:t>
      </w:r>
      <w:r>
        <w:rPr>
          <w:rFonts w:hint="eastAsia" w:ascii="宋体" w:hAnsi="宋体" w:cs="宋体"/>
          <w:spacing w:val="-1"/>
          <w:sz w:val="24"/>
          <w:szCs w:val="24"/>
        </w:rPr>
        <w:t>署之日起至投标有效期届满之日止。</w:t>
      </w:r>
      <w:r>
        <w:rPr>
          <w:rFonts w:hint="eastAsia" w:ascii="宋体" w:hAnsi="宋体" w:cs="宋体"/>
          <w:sz w:val="24"/>
          <w:szCs w:val="24"/>
        </w:rPr>
        <w:t xml:space="preserve"> </w:t>
      </w:r>
      <w:r>
        <w:rPr>
          <w:rFonts w:hint="eastAsia" w:ascii="宋体" w:hAnsi="宋体" w:cs="宋体"/>
          <w:spacing w:val="-6"/>
          <w:sz w:val="24"/>
          <w:szCs w:val="24"/>
        </w:rPr>
        <w:t>代</w:t>
      </w:r>
      <w:r>
        <w:rPr>
          <w:rFonts w:hint="eastAsia" w:ascii="宋体" w:hAnsi="宋体" w:cs="宋体"/>
          <w:spacing w:val="-4"/>
          <w:sz w:val="24"/>
          <w:szCs w:val="24"/>
        </w:rPr>
        <w:t>理人无转委托权。</w:t>
      </w:r>
    </w:p>
    <w:p w14:paraId="15B2B7C2">
      <w:pPr>
        <w:spacing w:line="314" w:lineRule="auto"/>
        <w:rPr>
          <w:rFonts w:hint="eastAsia" w:ascii="宋体" w:hAnsi="宋体" w:cs="宋体"/>
          <w:sz w:val="24"/>
          <w:szCs w:val="24"/>
        </w:rPr>
      </w:pPr>
    </w:p>
    <w:p w14:paraId="04404F7E">
      <w:pPr>
        <w:spacing w:before="79" w:line="219" w:lineRule="auto"/>
        <w:ind w:left="125"/>
        <w:rPr>
          <w:rFonts w:hint="eastAsia" w:ascii="宋体" w:hAnsi="宋体" w:cs="宋体"/>
          <w:sz w:val="24"/>
          <w:szCs w:val="24"/>
        </w:rPr>
      </w:pPr>
      <w:r>
        <w:rPr>
          <w:rFonts w:hint="eastAsia" w:ascii="宋体" w:hAnsi="宋体" w:cs="宋体"/>
          <w:spacing w:val="-6"/>
          <w:sz w:val="24"/>
          <w:szCs w:val="24"/>
        </w:rPr>
        <w:t>投标人</w:t>
      </w:r>
      <w:r>
        <w:rPr>
          <w:rFonts w:hint="eastAsia" w:ascii="宋体" w:hAnsi="宋体" w:cs="宋体"/>
          <w:spacing w:val="-5"/>
          <w:sz w:val="24"/>
          <w:szCs w:val="24"/>
        </w:rPr>
        <w:t>名</w:t>
      </w:r>
      <w:r>
        <w:rPr>
          <w:rFonts w:hint="eastAsia" w:ascii="宋体" w:hAnsi="宋体" w:cs="宋体"/>
          <w:spacing w:val="-3"/>
          <w:sz w:val="24"/>
          <w:szCs w:val="24"/>
        </w:rPr>
        <w:t>称(加盖公章)：________________</w:t>
      </w:r>
    </w:p>
    <w:p w14:paraId="32364939">
      <w:pPr>
        <w:spacing w:before="183" w:line="466" w:lineRule="exact"/>
        <w:ind w:left="123"/>
        <w:rPr>
          <w:rFonts w:hint="eastAsia" w:ascii="宋体" w:hAnsi="宋体" w:cs="宋体"/>
          <w:sz w:val="24"/>
          <w:szCs w:val="24"/>
        </w:rPr>
      </w:pPr>
      <w:r>
        <w:rPr>
          <w:rFonts w:hint="eastAsia" w:ascii="宋体" w:hAnsi="宋体" w:cs="宋体"/>
          <w:spacing w:val="1"/>
          <w:position w:val="17"/>
          <w:sz w:val="24"/>
          <w:szCs w:val="24"/>
        </w:rPr>
        <w:t>法定代表人(签字或签章)：_______</w:t>
      </w:r>
      <w:r>
        <w:rPr>
          <w:rFonts w:hint="eastAsia" w:ascii="宋体" w:hAnsi="宋体" w:cs="宋体"/>
          <w:position w:val="17"/>
          <w:sz w:val="24"/>
          <w:szCs w:val="24"/>
        </w:rPr>
        <w:t>_________</w:t>
      </w:r>
    </w:p>
    <w:p w14:paraId="67A3EF3D">
      <w:pPr>
        <w:spacing w:before="1" w:line="218" w:lineRule="auto"/>
        <w:ind w:left="121"/>
        <w:rPr>
          <w:rFonts w:hint="eastAsia" w:ascii="宋体" w:hAnsi="宋体" w:cs="宋体"/>
          <w:sz w:val="24"/>
          <w:szCs w:val="24"/>
        </w:rPr>
      </w:pPr>
      <w:r>
        <w:rPr>
          <w:rFonts w:hint="eastAsia" w:ascii="宋体" w:hAnsi="宋体" w:cs="宋体"/>
          <w:spacing w:val="-3"/>
          <w:sz w:val="24"/>
          <w:szCs w:val="24"/>
          <w:lang w:val="zh-CN"/>
        </w:rPr>
        <w:t>授权代理人</w:t>
      </w:r>
      <w:r>
        <w:rPr>
          <w:rFonts w:hint="eastAsia" w:ascii="宋体" w:hAnsi="宋体" w:cs="宋体"/>
          <w:spacing w:val="-3"/>
          <w:sz w:val="24"/>
          <w:szCs w:val="24"/>
        </w:rPr>
        <w:t>(签字或签章)：________________</w:t>
      </w:r>
    </w:p>
    <w:p w14:paraId="171DE7B5">
      <w:pPr>
        <w:spacing w:before="181" w:line="219" w:lineRule="auto"/>
        <w:ind w:left="164"/>
        <w:rPr>
          <w:rFonts w:hint="eastAsia" w:ascii="宋体" w:hAnsi="宋体" w:cs="宋体"/>
          <w:sz w:val="24"/>
          <w:szCs w:val="24"/>
        </w:rPr>
      </w:pPr>
      <w:r>
        <w:rPr>
          <w:rFonts w:hint="eastAsia" w:ascii="宋体" w:hAnsi="宋体" w:cs="宋体"/>
          <w:spacing w:val="-32"/>
          <w:sz w:val="24"/>
          <w:szCs w:val="24"/>
        </w:rPr>
        <w:t>日</w:t>
      </w:r>
      <w:r>
        <w:rPr>
          <w:rFonts w:hint="eastAsia" w:ascii="宋体" w:hAnsi="宋体" w:cs="宋体"/>
          <w:spacing w:val="-16"/>
          <w:sz w:val="24"/>
          <w:szCs w:val="24"/>
        </w:rPr>
        <w:t>期： _____年______月______ 日</w:t>
      </w:r>
    </w:p>
    <w:p w14:paraId="714EB77C">
      <w:pPr>
        <w:spacing w:line="261" w:lineRule="auto"/>
        <w:rPr>
          <w:rFonts w:hint="eastAsia" w:ascii="宋体" w:hAnsi="宋体" w:cs="宋体"/>
          <w:sz w:val="24"/>
          <w:szCs w:val="24"/>
        </w:rPr>
      </w:pPr>
    </w:p>
    <w:p w14:paraId="73E1FABE">
      <w:pPr>
        <w:spacing w:line="261" w:lineRule="auto"/>
        <w:rPr>
          <w:rFonts w:hint="eastAsia" w:ascii="宋体" w:hAnsi="宋体" w:cs="宋体"/>
          <w:sz w:val="24"/>
          <w:szCs w:val="24"/>
        </w:rPr>
      </w:pPr>
    </w:p>
    <w:p w14:paraId="3F5D3E0A">
      <w:pPr>
        <w:spacing w:before="79" w:line="219" w:lineRule="auto"/>
        <w:ind w:left="141"/>
        <w:rPr>
          <w:rFonts w:hint="eastAsia" w:ascii="宋体" w:hAnsi="宋体" w:cs="宋体"/>
          <w:sz w:val="24"/>
          <w:szCs w:val="24"/>
        </w:rPr>
      </w:pPr>
      <w:r>
        <w:rPr>
          <w:rFonts w:hint="eastAsia" w:ascii="宋体" w:hAnsi="宋体" w:cs="宋体"/>
          <w:spacing w:val="-6"/>
          <w:sz w:val="24"/>
          <w:szCs w:val="24"/>
        </w:rPr>
        <w:t>附：法</w:t>
      </w:r>
      <w:r>
        <w:rPr>
          <w:rFonts w:hint="eastAsia" w:ascii="宋体" w:hAnsi="宋体" w:cs="宋体"/>
          <w:spacing w:val="-5"/>
          <w:sz w:val="24"/>
          <w:szCs w:val="24"/>
        </w:rPr>
        <w:t>定</w:t>
      </w:r>
      <w:r>
        <w:rPr>
          <w:rFonts w:hint="eastAsia" w:ascii="宋体" w:hAnsi="宋体" w:cs="宋体"/>
          <w:spacing w:val="-3"/>
          <w:sz w:val="24"/>
          <w:szCs w:val="24"/>
        </w:rPr>
        <w:t>代表人及</w:t>
      </w:r>
      <w:r>
        <w:rPr>
          <w:rFonts w:hint="eastAsia" w:ascii="宋体" w:hAnsi="宋体" w:cs="宋体"/>
          <w:spacing w:val="-3"/>
          <w:sz w:val="24"/>
          <w:szCs w:val="24"/>
          <w:lang w:val="zh-CN"/>
        </w:rPr>
        <w:t>授权代理人</w:t>
      </w:r>
      <w:r>
        <w:rPr>
          <w:rFonts w:hint="eastAsia" w:ascii="宋体" w:hAnsi="宋体" w:cs="宋体"/>
          <w:spacing w:val="-3"/>
          <w:sz w:val="24"/>
          <w:szCs w:val="24"/>
        </w:rPr>
        <w:t>身份双面电子件：</w:t>
      </w:r>
    </w:p>
    <w:p w14:paraId="7721D893">
      <w:pPr>
        <w:spacing w:before="144" w:line="2162" w:lineRule="exact"/>
        <w:textAlignment w:val="center"/>
        <w:rPr>
          <w:rFonts w:hint="eastAsia" w:ascii="宋体" w:hAnsi="宋体" w:cs="宋体"/>
          <w:sz w:val="24"/>
          <w:szCs w:val="24"/>
        </w:rPr>
      </w:pPr>
      <w:r>
        <w:rPr>
          <w:rFonts w:hint="eastAsia" w:ascii="宋体" w:hAnsi="宋体" w:cs="宋体"/>
          <w:sz w:val="24"/>
          <w:szCs w:val="24"/>
        </w:rPr>
        <w:drawing>
          <wp:inline distT="0" distB="0" distL="0" distR="0">
            <wp:extent cx="5274310" cy="1372235"/>
            <wp:effectExtent l="0" t="0" r="2540" b="18415"/>
            <wp:docPr id="51" name="IM 47"/>
            <wp:cNvGraphicFramePr/>
            <a:graphic xmlns:a="http://schemas.openxmlformats.org/drawingml/2006/main">
              <a:graphicData uri="http://schemas.openxmlformats.org/drawingml/2006/picture">
                <pic:pic xmlns:pic="http://schemas.openxmlformats.org/drawingml/2006/picture">
                  <pic:nvPicPr>
                    <pic:cNvPr id="51" name="IM 47"/>
                    <pic:cNvPicPr/>
                  </pic:nvPicPr>
                  <pic:blipFill>
                    <a:blip r:embed="rId24"/>
                    <a:stretch>
                      <a:fillRect/>
                    </a:stretch>
                  </pic:blipFill>
                  <pic:spPr>
                    <a:xfrm>
                      <a:off x="0" y="0"/>
                      <a:ext cx="5274319" cy="1372595"/>
                    </a:xfrm>
                    <a:prstGeom prst="rect">
                      <a:avLst/>
                    </a:prstGeom>
                  </pic:spPr>
                </pic:pic>
              </a:graphicData>
            </a:graphic>
          </wp:inline>
        </w:drawing>
      </w:r>
    </w:p>
    <w:p w14:paraId="687E8286">
      <w:pPr>
        <w:spacing w:line="360" w:lineRule="auto"/>
        <w:jc w:val="left"/>
        <w:rPr>
          <w:rFonts w:hint="eastAsia" w:ascii="宋体" w:hAnsi="宋体" w:cs="宋体"/>
          <w:sz w:val="24"/>
          <w:szCs w:val="24"/>
        </w:rPr>
      </w:pPr>
      <w:r>
        <w:rPr>
          <w:rFonts w:hint="eastAsia" w:ascii="宋体" w:hAnsi="宋体" w:cs="宋体"/>
          <w:sz w:val="24"/>
          <w:szCs w:val="24"/>
        </w:rPr>
        <w:t>说明：</w:t>
      </w:r>
    </w:p>
    <w:p w14:paraId="58624A16">
      <w:pPr>
        <w:spacing w:line="360" w:lineRule="auto"/>
        <w:jc w:val="left"/>
        <w:rPr>
          <w:rFonts w:hint="eastAsia" w:ascii="宋体" w:hAnsi="宋体" w:cs="宋体"/>
          <w:sz w:val="24"/>
          <w:szCs w:val="24"/>
        </w:rPr>
      </w:pPr>
      <w:r>
        <w:rPr>
          <w:rFonts w:hint="eastAsia" w:ascii="宋体" w:hAnsi="宋体" w:cs="宋体"/>
          <w:sz w:val="24"/>
          <w:szCs w:val="24"/>
        </w:rPr>
        <w:t>1.若供应商为事业单位或其他组织或分支机构，则法定代表人处的签署人可为单位负责人。</w:t>
      </w:r>
    </w:p>
    <w:p w14:paraId="4DC10E0D">
      <w:pPr>
        <w:spacing w:line="360" w:lineRule="auto"/>
        <w:jc w:val="left"/>
        <w:rPr>
          <w:rFonts w:hint="eastAsia" w:ascii="宋体" w:hAnsi="宋体" w:cs="宋体"/>
          <w:sz w:val="24"/>
          <w:szCs w:val="24"/>
        </w:rPr>
      </w:pPr>
      <w:r>
        <w:rPr>
          <w:rFonts w:hint="eastAsia" w:ascii="宋体" w:hAnsi="宋体" w:cs="宋体"/>
          <w:sz w:val="24"/>
          <w:szCs w:val="24"/>
        </w:rPr>
        <w:t xml:space="preserve">2.若投标文件中签字之处均为法定代表人(单位负责人) 本人签署，则可不提供本《授权委托书》，但须提供《法定代表人(单位负责人) 身份证明》；否则，不需要提供《法定代表人(单位负责人)身份证明》。                                           </w:t>
      </w:r>
    </w:p>
    <w:p w14:paraId="0244DD52">
      <w:pPr>
        <w:spacing w:line="360" w:lineRule="auto"/>
        <w:jc w:val="left"/>
        <w:rPr>
          <w:rFonts w:hint="eastAsia" w:ascii="宋体" w:hAnsi="宋体" w:cs="宋体"/>
          <w:sz w:val="24"/>
          <w:szCs w:val="24"/>
        </w:rPr>
      </w:pPr>
      <w:r>
        <w:rPr>
          <w:rFonts w:hint="eastAsia" w:ascii="宋体" w:hAnsi="宋体" w:cs="宋体"/>
          <w:sz w:val="24"/>
          <w:szCs w:val="24"/>
        </w:rPr>
        <w:t xml:space="preserve">3.供应商为自然人的情形，可不提供本《授权委托书》。                           </w:t>
      </w:r>
    </w:p>
    <w:p w14:paraId="26EB490A">
      <w:pPr>
        <w:spacing w:line="360" w:lineRule="auto"/>
        <w:jc w:val="left"/>
        <w:rPr>
          <w:rFonts w:hint="eastAsia" w:ascii="宋体" w:hAnsi="宋体" w:cs="宋体"/>
          <w:sz w:val="24"/>
          <w:szCs w:val="24"/>
        </w:rPr>
      </w:pPr>
      <w:r>
        <w:rPr>
          <w:rFonts w:hint="eastAsia" w:ascii="宋体" w:hAnsi="宋体" w:cs="宋体"/>
          <w:sz w:val="24"/>
          <w:szCs w:val="24"/>
        </w:rPr>
        <w:t>4.供应商应随本《授权委托书》同时提供法定代表人(单位负责人)及委托代理人的有效的身份证证明文件电子件。提供身份证的，应同时提供身份证双面电子件。</w:t>
      </w:r>
    </w:p>
    <w:p w14:paraId="2B5DCB98">
      <w:pPr>
        <w:rPr>
          <w:rFonts w:hint="eastAsia" w:ascii="宋体" w:hAnsi="宋体" w:cs="宋体"/>
          <w:sz w:val="24"/>
          <w:szCs w:val="24"/>
        </w:rPr>
        <w:sectPr>
          <w:headerReference r:id="rId14" w:type="default"/>
          <w:footerReference r:id="rId15" w:type="default"/>
          <w:pgSz w:w="11907" w:h="16840"/>
          <w:pgMar w:top="1440" w:right="1080" w:bottom="1440" w:left="1080" w:header="878" w:footer="886" w:gutter="0"/>
          <w:cols w:space="720" w:num="1"/>
        </w:sectPr>
      </w:pPr>
    </w:p>
    <w:p w14:paraId="48585139">
      <w:pPr>
        <w:spacing w:before="91" w:line="220" w:lineRule="auto"/>
        <w:jc w:val="center"/>
        <w:outlineLvl w:val="2"/>
        <w:rPr>
          <w:rFonts w:hint="eastAsia" w:ascii="宋体" w:hAnsi="宋体" w:cs="宋体"/>
          <w:sz w:val="28"/>
          <w:szCs w:val="28"/>
        </w:rPr>
      </w:pPr>
      <w:r>
        <w:rPr>
          <w:rFonts w:ascii="宋体" w:hAnsi="宋体" w:cs="宋体"/>
          <w:spacing w:val="-7"/>
          <w:sz w:val="28"/>
          <w:szCs w:val="28"/>
          <w14:textOutline w14:w="5105" w14:cap="sq" w14:cmpd="sng" w14:algn="ctr">
            <w14:solidFill>
              <w14:srgbClr w14:val="000000"/>
            </w14:solidFill>
            <w14:prstDash w14:val="solid"/>
            <w14:bevel/>
          </w14:textOutline>
        </w:rPr>
        <w:t>四</w:t>
      </w:r>
      <w:r>
        <w:rPr>
          <w:rFonts w:ascii="宋体" w:hAnsi="宋体" w:cs="宋体"/>
          <w:spacing w:val="-6"/>
          <w:sz w:val="28"/>
          <w:szCs w:val="28"/>
          <w14:textOutline w14:w="5105" w14:cap="sq" w14:cmpd="sng" w14:algn="ctr">
            <w14:solidFill>
              <w14:srgbClr w14:val="000000"/>
            </w14:solidFill>
            <w14:prstDash w14:val="solid"/>
            <w14:bevel/>
          </w14:textOutline>
        </w:rPr>
        <w:t>、投标人的营业执照等证明文件，</w:t>
      </w:r>
      <w:r>
        <w:rPr>
          <w:rFonts w:ascii="宋体" w:hAnsi="宋体" w:cs="宋体"/>
          <w:spacing w:val="-6"/>
          <w:sz w:val="28"/>
          <w:szCs w:val="28"/>
        </w:rPr>
        <w:t xml:space="preserve"> </w:t>
      </w:r>
      <w:r>
        <w:rPr>
          <w:rFonts w:ascii="宋体" w:hAnsi="宋体" w:cs="宋体"/>
          <w:spacing w:val="-6"/>
          <w:sz w:val="28"/>
          <w:szCs w:val="28"/>
          <w14:textOutline w14:w="5105" w14:cap="sq" w14:cmpd="sng" w14:algn="ctr">
            <w14:solidFill>
              <w14:srgbClr w14:val="000000"/>
            </w14:solidFill>
            <w14:prstDash w14:val="solid"/>
            <w14:bevel/>
          </w14:textOutline>
        </w:rPr>
        <w:t>自然人的身份证明</w:t>
      </w:r>
    </w:p>
    <w:p w14:paraId="7F30CAB9">
      <w:pPr>
        <w:ind w:firstLine="1200" w:firstLineChars="500"/>
        <w:jc w:val="left"/>
        <w:rPr>
          <w:rFonts w:hint="eastAsia" w:ascii="宋体" w:hAnsi="宋体" w:cs="宋体"/>
          <w:sz w:val="24"/>
          <w:szCs w:val="24"/>
        </w:rPr>
      </w:pPr>
      <w:r>
        <w:rPr>
          <w:rFonts w:hint="eastAsia" w:ascii="宋体" w:hAnsi="宋体" w:cs="宋体"/>
          <w:sz w:val="24"/>
          <w:szCs w:val="24"/>
        </w:rPr>
        <w:t>说明：</w:t>
      </w:r>
    </w:p>
    <w:p w14:paraId="0DDE254E">
      <w:pPr>
        <w:jc w:val="center"/>
        <w:rPr>
          <w:rFonts w:hint="eastAsia" w:ascii="宋体" w:hAnsi="宋体" w:cs="宋体"/>
          <w:sz w:val="24"/>
          <w:szCs w:val="24"/>
        </w:rPr>
      </w:pPr>
      <w:r>
        <w:rPr>
          <w:rFonts w:hint="eastAsia" w:ascii="宋体" w:hAnsi="宋体" w:cs="宋体"/>
          <w:sz w:val="24"/>
          <w:szCs w:val="24"/>
        </w:rPr>
        <w:t>(1) 企业单位投标提供有效的营业执照 (3 证合 1 或多证合 1)；或</w:t>
      </w:r>
    </w:p>
    <w:p w14:paraId="1E49CBD3">
      <w:pPr>
        <w:jc w:val="center"/>
        <w:rPr>
          <w:rFonts w:hint="eastAsia" w:ascii="宋体" w:hAnsi="宋体" w:cs="宋体"/>
          <w:sz w:val="24"/>
          <w:szCs w:val="24"/>
        </w:rPr>
      </w:pPr>
      <w:r>
        <w:rPr>
          <w:rFonts w:hint="eastAsia" w:ascii="宋体" w:hAnsi="宋体" w:cs="宋体"/>
          <w:sz w:val="24"/>
          <w:szCs w:val="24"/>
        </w:rPr>
        <w:t>(2) 事业单位投标提供有效的法人证书 (带有社会统一信用代码)；或</w:t>
      </w:r>
    </w:p>
    <w:p w14:paraId="101D10C2">
      <w:pPr>
        <w:jc w:val="center"/>
        <w:rPr>
          <w:rFonts w:hint="eastAsia" w:ascii="宋体" w:hAnsi="宋体" w:cs="宋体"/>
          <w:sz w:val="24"/>
          <w:szCs w:val="24"/>
        </w:rPr>
      </w:pPr>
      <w:r>
        <w:rPr>
          <w:rFonts w:hint="eastAsia" w:ascii="宋体" w:hAnsi="宋体" w:cs="宋体"/>
          <w:sz w:val="24"/>
          <w:szCs w:val="24"/>
        </w:rPr>
        <w:t>(3) 其他组织投标提供有效的登记证书 (带有社会统一信用代码)；或</w:t>
      </w:r>
    </w:p>
    <w:p w14:paraId="4618914F">
      <w:pPr>
        <w:ind w:firstLine="1680" w:firstLineChars="700"/>
        <w:rPr>
          <w:rFonts w:hint="eastAsia" w:ascii="宋体" w:hAnsi="宋体" w:cs="宋体"/>
          <w:sz w:val="24"/>
          <w:szCs w:val="24"/>
        </w:rPr>
      </w:pPr>
      <w:r>
        <w:rPr>
          <w:rFonts w:hint="eastAsia" w:ascii="宋体" w:hAnsi="宋体" w:cs="宋体"/>
          <w:sz w:val="24"/>
          <w:szCs w:val="24"/>
        </w:rPr>
        <w:t>(4) 自然人投标提供有效的身份证复印件；</w:t>
      </w:r>
    </w:p>
    <w:p w14:paraId="378B4B55">
      <w:pPr>
        <w:jc w:val="center"/>
        <w:rPr>
          <w:rFonts w:hint="eastAsia" w:ascii="宋体" w:hAnsi="宋体" w:cs="宋体"/>
          <w:sz w:val="24"/>
          <w:szCs w:val="24"/>
        </w:rPr>
      </w:pPr>
      <w:r>
        <w:rPr>
          <w:rFonts w:hint="eastAsia" w:ascii="宋体" w:hAnsi="宋体" w:cs="宋体"/>
          <w:sz w:val="24"/>
          <w:szCs w:val="24"/>
        </w:rPr>
        <w:t>以上 (1) - (3) 项为正本或者副本复印件，并加盖投标人单位章。</w:t>
      </w:r>
    </w:p>
    <w:p w14:paraId="75D5C83A">
      <w:pPr>
        <w:autoSpaceDE w:val="0"/>
        <w:autoSpaceDN w:val="0"/>
        <w:adjustRightInd w:val="0"/>
        <w:jc w:val="center"/>
        <w:rPr>
          <w:rFonts w:hint="eastAsia" w:ascii="宋体" w:hAnsi="宋体" w:cs="宋体"/>
          <w:b/>
          <w:bCs/>
          <w:color w:val="000000"/>
          <w:sz w:val="28"/>
          <w:szCs w:val="28"/>
          <w:lang w:val="zh-CN"/>
        </w:rPr>
      </w:pPr>
    </w:p>
    <w:p w14:paraId="256F5CCC">
      <w:pPr>
        <w:autoSpaceDE w:val="0"/>
        <w:autoSpaceDN w:val="0"/>
        <w:adjustRightInd w:val="0"/>
        <w:jc w:val="center"/>
        <w:rPr>
          <w:rFonts w:hint="eastAsia" w:ascii="宋体" w:hAnsi="宋体" w:cs="宋体"/>
          <w:b/>
          <w:bCs/>
          <w:color w:val="000000"/>
          <w:sz w:val="28"/>
          <w:szCs w:val="28"/>
          <w:lang w:val="zh-CN"/>
        </w:rPr>
      </w:pPr>
    </w:p>
    <w:p w14:paraId="3C47BE2C">
      <w:pPr>
        <w:autoSpaceDE w:val="0"/>
        <w:autoSpaceDN w:val="0"/>
        <w:adjustRightInd w:val="0"/>
        <w:jc w:val="center"/>
        <w:rPr>
          <w:rFonts w:hint="eastAsia" w:ascii="宋体" w:hAnsi="宋体" w:cs="宋体"/>
          <w:b/>
          <w:bCs/>
          <w:color w:val="000000"/>
          <w:sz w:val="28"/>
          <w:szCs w:val="28"/>
          <w:lang w:val="zh-CN"/>
        </w:rPr>
      </w:pPr>
    </w:p>
    <w:p w14:paraId="27578370">
      <w:pPr>
        <w:autoSpaceDE w:val="0"/>
        <w:autoSpaceDN w:val="0"/>
        <w:adjustRightInd w:val="0"/>
        <w:jc w:val="center"/>
        <w:rPr>
          <w:rFonts w:hint="eastAsia" w:ascii="宋体" w:hAnsi="宋体" w:cs="宋体"/>
          <w:b/>
          <w:bCs/>
          <w:color w:val="000000"/>
          <w:sz w:val="28"/>
          <w:szCs w:val="28"/>
          <w:lang w:val="zh-CN"/>
        </w:rPr>
      </w:pPr>
    </w:p>
    <w:p w14:paraId="635A3747">
      <w:pPr>
        <w:autoSpaceDE w:val="0"/>
        <w:autoSpaceDN w:val="0"/>
        <w:adjustRightInd w:val="0"/>
        <w:jc w:val="center"/>
        <w:rPr>
          <w:rFonts w:hint="eastAsia" w:ascii="宋体" w:hAnsi="宋体" w:cs="宋体"/>
          <w:b/>
          <w:bCs/>
          <w:color w:val="000000"/>
          <w:sz w:val="28"/>
          <w:szCs w:val="28"/>
          <w:lang w:val="zh-CN"/>
        </w:rPr>
      </w:pPr>
    </w:p>
    <w:p w14:paraId="17078599">
      <w:pPr>
        <w:autoSpaceDE w:val="0"/>
        <w:autoSpaceDN w:val="0"/>
        <w:adjustRightInd w:val="0"/>
        <w:jc w:val="center"/>
        <w:rPr>
          <w:rFonts w:hint="eastAsia" w:ascii="宋体" w:hAnsi="宋体" w:cs="宋体"/>
          <w:b/>
          <w:bCs/>
          <w:color w:val="000000"/>
          <w:sz w:val="28"/>
          <w:szCs w:val="28"/>
          <w:lang w:val="zh-CN"/>
        </w:rPr>
      </w:pPr>
    </w:p>
    <w:p w14:paraId="169CFA27">
      <w:pPr>
        <w:autoSpaceDE w:val="0"/>
        <w:autoSpaceDN w:val="0"/>
        <w:adjustRightInd w:val="0"/>
        <w:jc w:val="center"/>
        <w:rPr>
          <w:rFonts w:hint="eastAsia" w:ascii="宋体" w:hAnsi="宋体" w:cs="宋体"/>
          <w:b/>
          <w:bCs/>
          <w:color w:val="000000"/>
          <w:sz w:val="28"/>
          <w:szCs w:val="28"/>
          <w:lang w:val="zh-CN"/>
        </w:rPr>
      </w:pPr>
    </w:p>
    <w:p w14:paraId="1F356D28">
      <w:pPr>
        <w:autoSpaceDE w:val="0"/>
        <w:autoSpaceDN w:val="0"/>
        <w:adjustRightInd w:val="0"/>
        <w:jc w:val="center"/>
        <w:rPr>
          <w:rFonts w:hint="eastAsia" w:ascii="宋体" w:hAnsi="宋体" w:cs="宋体"/>
          <w:b/>
          <w:bCs/>
          <w:color w:val="000000"/>
          <w:sz w:val="28"/>
          <w:szCs w:val="28"/>
          <w:lang w:val="zh-CN"/>
        </w:rPr>
      </w:pPr>
    </w:p>
    <w:p w14:paraId="5FA959D7">
      <w:pPr>
        <w:autoSpaceDE w:val="0"/>
        <w:autoSpaceDN w:val="0"/>
        <w:adjustRightInd w:val="0"/>
        <w:jc w:val="center"/>
        <w:rPr>
          <w:rFonts w:hint="eastAsia" w:ascii="宋体" w:hAnsi="宋体" w:cs="宋体"/>
          <w:b/>
          <w:bCs/>
          <w:color w:val="000000"/>
          <w:sz w:val="28"/>
          <w:szCs w:val="28"/>
          <w:lang w:val="zh-CN"/>
        </w:rPr>
      </w:pPr>
    </w:p>
    <w:p w14:paraId="7EE883CA">
      <w:pPr>
        <w:autoSpaceDE w:val="0"/>
        <w:autoSpaceDN w:val="0"/>
        <w:adjustRightInd w:val="0"/>
        <w:jc w:val="center"/>
        <w:rPr>
          <w:rFonts w:hint="eastAsia" w:ascii="宋体" w:hAnsi="宋体" w:cs="宋体"/>
          <w:b/>
          <w:bCs/>
          <w:color w:val="000000"/>
          <w:sz w:val="28"/>
          <w:szCs w:val="28"/>
          <w:lang w:val="zh-CN"/>
        </w:rPr>
      </w:pPr>
    </w:p>
    <w:p w14:paraId="3914D1CC">
      <w:pPr>
        <w:autoSpaceDE w:val="0"/>
        <w:autoSpaceDN w:val="0"/>
        <w:adjustRightInd w:val="0"/>
        <w:jc w:val="center"/>
        <w:rPr>
          <w:rFonts w:hint="eastAsia" w:ascii="宋体" w:hAnsi="宋体" w:cs="宋体"/>
          <w:b/>
          <w:bCs/>
          <w:color w:val="000000"/>
          <w:sz w:val="28"/>
          <w:szCs w:val="28"/>
          <w:lang w:val="zh-CN"/>
        </w:rPr>
      </w:pPr>
    </w:p>
    <w:p w14:paraId="6EC14ADC">
      <w:pPr>
        <w:autoSpaceDE w:val="0"/>
        <w:autoSpaceDN w:val="0"/>
        <w:adjustRightInd w:val="0"/>
        <w:jc w:val="center"/>
        <w:rPr>
          <w:rFonts w:hint="eastAsia" w:ascii="宋体" w:hAnsi="宋体" w:cs="宋体"/>
          <w:b/>
          <w:bCs/>
          <w:color w:val="000000"/>
          <w:sz w:val="28"/>
          <w:szCs w:val="28"/>
          <w:lang w:val="zh-CN"/>
        </w:rPr>
      </w:pPr>
    </w:p>
    <w:p w14:paraId="0861CC44">
      <w:pPr>
        <w:autoSpaceDE w:val="0"/>
        <w:autoSpaceDN w:val="0"/>
        <w:adjustRightInd w:val="0"/>
        <w:jc w:val="center"/>
        <w:rPr>
          <w:rFonts w:hint="eastAsia" w:ascii="宋体" w:hAnsi="宋体" w:cs="宋体"/>
          <w:b/>
          <w:bCs/>
          <w:color w:val="000000"/>
          <w:sz w:val="28"/>
          <w:szCs w:val="28"/>
          <w:lang w:val="zh-CN"/>
        </w:rPr>
      </w:pPr>
    </w:p>
    <w:p w14:paraId="2AE60760">
      <w:pPr>
        <w:autoSpaceDE w:val="0"/>
        <w:autoSpaceDN w:val="0"/>
        <w:adjustRightInd w:val="0"/>
        <w:jc w:val="center"/>
        <w:rPr>
          <w:rFonts w:hint="eastAsia" w:ascii="宋体" w:hAnsi="宋体" w:cs="宋体"/>
          <w:b/>
          <w:bCs/>
          <w:color w:val="000000"/>
          <w:sz w:val="28"/>
          <w:szCs w:val="28"/>
          <w:lang w:val="zh-CN"/>
        </w:rPr>
      </w:pPr>
    </w:p>
    <w:p w14:paraId="55B5A9F7">
      <w:pPr>
        <w:autoSpaceDE w:val="0"/>
        <w:autoSpaceDN w:val="0"/>
        <w:adjustRightInd w:val="0"/>
        <w:jc w:val="center"/>
        <w:rPr>
          <w:rFonts w:hint="eastAsia" w:ascii="宋体" w:hAnsi="宋体" w:cs="宋体"/>
          <w:b/>
          <w:bCs/>
          <w:color w:val="000000"/>
          <w:sz w:val="28"/>
          <w:szCs w:val="28"/>
          <w:lang w:val="zh-CN"/>
        </w:rPr>
      </w:pPr>
    </w:p>
    <w:p w14:paraId="35465C7F">
      <w:pPr>
        <w:autoSpaceDE w:val="0"/>
        <w:autoSpaceDN w:val="0"/>
        <w:adjustRightInd w:val="0"/>
        <w:jc w:val="center"/>
        <w:rPr>
          <w:rFonts w:hint="eastAsia" w:ascii="宋体" w:hAnsi="宋体" w:cs="宋体"/>
          <w:b/>
          <w:bCs/>
          <w:color w:val="000000"/>
          <w:sz w:val="28"/>
          <w:szCs w:val="28"/>
          <w:lang w:val="zh-CN"/>
        </w:rPr>
      </w:pPr>
    </w:p>
    <w:p w14:paraId="67573FF6">
      <w:pPr>
        <w:autoSpaceDE w:val="0"/>
        <w:autoSpaceDN w:val="0"/>
        <w:adjustRightInd w:val="0"/>
        <w:jc w:val="center"/>
        <w:rPr>
          <w:rFonts w:hint="eastAsia" w:ascii="宋体" w:hAnsi="宋体" w:cs="宋体"/>
          <w:b/>
          <w:bCs/>
          <w:color w:val="000000"/>
          <w:sz w:val="28"/>
          <w:szCs w:val="28"/>
          <w:lang w:val="zh-CN"/>
        </w:rPr>
      </w:pPr>
    </w:p>
    <w:p w14:paraId="193DB9AE">
      <w:pPr>
        <w:autoSpaceDE w:val="0"/>
        <w:autoSpaceDN w:val="0"/>
        <w:adjustRightInd w:val="0"/>
        <w:jc w:val="center"/>
        <w:rPr>
          <w:rFonts w:hint="eastAsia" w:ascii="宋体" w:hAnsi="宋体" w:cs="宋体"/>
          <w:b/>
          <w:bCs/>
          <w:color w:val="000000"/>
          <w:sz w:val="28"/>
          <w:szCs w:val="28"/>
          <w:lang w:val="zh-CN"/>
        </w:rPr>
      </w:pPr>
    </w:p>
    <w:p w14:paraId="7008FE9B">
      <w:pPr>
        <w:spacing w:before="169" w:line="230" w:lineRule="auto"/>
        <w:jc w:val="center"/>
        <w:outlineLvl w:val="2"/>
        <w:rPr>
          <w:rFonts w:hint="eastAsia" w:ascii="宋体" w:hAnsi="宋体" w:cs="宋体"/>
          <w:spacing w:val="-1"/>
          <w:sz w:val="28"/>
          <w:szCs w:val="28"/>
          <w14:textOutline w14:w="5105" w14:cap="sq" w14:cmpd="sng" w14:algn="ctr">
            <w14:solidFill>
              <w14:srgbClr w14:val="000000"/>
            </w14:solidFill>
            <w14:prstDash w14:val="solid"/>
            <w14:bevel/>
          </w14:textOutline>
        </w:rPr>
      </w:pPr>
    </w:p>
    <w:p w14:paraId="241C7B91">
      <w:pPr>
        <w:spacing w:before="169" w:line="230" w:lineRule="auto"/>
        <w:jc w:val="center"/>
        <w:outlineLvl w:val="2"/>
        <w:rPr>
          <w:rFonts w:hint="eastAsia" w:ascii="宋体" w:hAnsi="宋体" w:cs="宋体"/>
          <w:spacing w:val="-1"/>
          <w:sz w:val="28"/>
          <w:szCs w:val="28"/>
          <w14:textOutline w14:w="5105" w14:cap="sq" w14:cmpd="sng" w14:algn="ctr">
            <w14:solidFill>
              <w14:srgbClr w14:val="000000"/>
            </w14:solidFill>
            <w14:prstDash w14:val="solid"/>
            <w14:bevel/>
          </w14:textOutline>
        </w:rPr>
      </w:pPr>
    </w:p>
    <w:p w14:paraId="73BD3BDF">
      <w:pPr>
        <w:spacing w:before="169" w:line="230" w:lineRule="auto"/>
        <w:jc w:val="center"/>
        <w:outlineLvl w:val="2"/>
        <w:rPr>
          <w:rFonts w:hint="eastAsia" w:ascii="宋体" w:hAnsi="宋体" w:cs="宋体"/>
          <w:sz w:val="28"/>
          <w:szCs w:val="28"/>
        </w:rPr>
      </w:pPr>
      <w:r>
        <w:rPr>
          <w:rFonts w:ascii="宋体" w:hAnsi="宋体" w:cs="宋体"/>
          <w:spacing w:val="-1"/>
          <w:sz w:val="28"/>
          <w:szCs w:val="28"/>
          <w14:textOutline w14:w="5105" w14:cap="sq" w14:cmpd="sng" w14:algn="ctr">
            <w14:solidFill>
              <w14:srgbClr w14:val="000000"/>
            </w14:solidFill>
            <w14:prstDash w14:val="solid"/>
            <w14:bevel/>
          </w14:textOutline>
        </w:rPr>
        <w:t>五、财务状况报</w:t>
      </w:r>
      <w:r>
        <w:rPr>
          <w:rFonts w:ascii="宋体" w:hAnsi="宋体" w:cs="宋体"/>
          <w:sz w:val="28"/>
          <w:szCs w:val="28"/>
          <w14:textOutline w14:w="5105" w14:cap="sq" w14:cmpd="sng" w14:algn="ctr">
            <w14:solidFill>
              <w14:srgbClr w14:val="000000"/>
            </w14:solidFill>
            <w14:prstDash w14:val="solid"/>
            <w14:bevel/>
          </w14:textOutline>
        </w:rPr>
        <w:t>告</w:t>
      </w:r>
    </w:p>
    <w:p w14:paraId="3DAEBDD1">
      <w:pPr>
        <w:rPr>
          <w:rFonts w:hint="eastAsia" w:ascii="宋体" w:hAnsi="宋体" w:cs="宋体"/>
          <w:sz w:val="24"/>
          <w:szCs w:val="24"/>
        </w:rPr>
      </w:pPr>
      <w:r>
        <w:rPr>
          <w:rFonts w:hint="eastAsia" w:ascii="宋体" w:hAnsi="宋体" w:cs="宋体"/>
          <w:sz w:val="24"/>
          <w:szCs w:val="24"/>
        </w:rPr>
        <w:t>说明：</w:t>
      </w:r>
    </w:p>
    <w:p w14:paraId="73B4D2AA">
      <w:pPr>
        <w:rPr>
          <w:rFonts w:hint="eastAsia" w:ascii="宋体" w:hAnsi="宋体" w:cs="宋体"/>
          <w:sz w:val="24"/>
          <w:szCs w:val="24"/>
        </w:rPr>
      </w:pPr>
      <w:r>
        <w:rPr>
          <w:rFonts w:hint="eastAsia" w:ascii="宋体" w:hAnsi="宋体" w:cs="宋体"/>
          <w:sz w:val="24"/>
          <w:szCs w:val="24"/>
        </w:rPr>
        <w:t>提供经第三方会计师事务所审计的2023年完整有效的企业财务审计报告或提供其基本开户银行在投标截止日前，六个月内出具的资信证明（银行出具的存款证明不能替代银行资信证明）</w:t>
      </w:r>
      <w:r>
        <w:rPr>
          <w:rFonts w:hint="eastAsia" w:ascii="宋体" w:hAnsi="宋体" w:cs="宋体"/>
          <w:b/>
          <w:bCs/>
          <w:sz w:val="24"/>
          <w:szCs w:val="24"/>
        </w:rPr>
        <w:t>（投标文件内附复印件并加盖公章）</w:t>
      </w:r>
      <w:r>
        <w:rPr>
          <w:rFonts w:hint="eastAsia" w:ascii="宋体" w:hAnsi="宋体" w:cs="宋体"/>
          <w:sz w:val="24"/>
          <w:szCs w:val="24"/>
        </w:rPr>
        <w:t>。</w:t>
      </w:r>
    </w:p>
    <w:p w14:paraId="7B02B87E">
      <w:pPr>
        <w:rPr>
          <w:rFonts w:hint="eastAsia" w:ascii="宋体" w:hAnsi="宋体" w:cs="宋体"/>
          <w:sz w:val="24"/>
          <w:szCs w:val="24"/>
        </w:rPr>
      </w:pPr>
    </w:p>
    <w:p w14:paraId="326CB9FA">
      <w:pPr>
        <w:autoSpaceDE w:val="0"/>
        <w:autoSpaceDN w:val="0"/>
        <w:adjustRightInd w:val="0"/>
        <w:jc w:val="center"/>
        <w:rPr>
          <w:rFonts w:hint="eastAsia" w:ascii="宋体" w:hAnsi="宋体" w:cs="宋体"/>
          <w:b/>
          <w:bCs/>
          <w:color w:val="000000"/>
          <w:sz w:val="28"/>
          <w:szCs w:val="28"/>
          <w:lang w:val="zh-CN"/>
        </w:rPr>
      </w:pPr>
    </w:p>
    <w:p w14:paraId="10277D92">
      <w:pPr>
        <w:autoSpaceDE w:val="0"/>
        <w:autoSpaceDN w:val="0"/>
        <w:adjustRightInd w:val="0"/>
        <w:jc w:val="center"/>
        <w:rPr>
          <w:rFonts w:hint="eastAsia" w:ascii="宋体" w:hAnsi="宋体" w:cs="宋体"/>
          <w:b/>
          <w:bCs/>
          <w:color w:val="000000"/>
          <w:sz w:val="28"/>
          <w:szCs w:val="28"/>
          <w:lang w:val="zh-CN"/>
        </w:rPr>
      </w:pPr>
    </w:p>
    <w:p w14:paraId="56090408">
      <w:pPr>
        <w:autoSpaceDE w:val="0"/>
        <w:autoSpaceDN w:val="0"/>
        <w:adjustRightInd w:val="0"/>
        <w:jc w:val="center"/>
        <w:rPr>
          <w:rFonts w:hint="eastAsia" w:ascii="宋体" w:hAnsi="宋体" w:cs="宋体"/>
          <w:b/>
          <w:bCs/>
          <w:color w:val="000000"/>
          <w:sz w:val="28"/>
          <w:szCs w:val="28"/>
          <w:lang w:val="zh-CN"/>
        </w:rPr>
      </w:pPr>
    </w:p>
    <w:p w14:paraId="32EC9760">
      <w:pPr>
        <w:autoSpaceDE w:val="0"/>
        <w:autoSpaceDN w:val="0"/>
        <w:adjustRightInd w:val="0"/>
        <w:jc w:val="center"/>
        <w:rPr>
          <w:rFonts w:hint="eastAsia" w:ascii="宋体" w:hAnsi="宋体" w:cs="宋体"/>
          <w:b/>
          <w:bCs/>
          <w:color w:val="000000"/>
          <w:sz w:val="28"/>
          <w:szCs w:val="28"/>
          <w:lang w:val="zh-CN"/>
        </w:rPr>
      </w:pPr>
    </w:p>
    <w:p w14:paraId="39780A01">
      <w:pPr>
        <w:autoSpaceDE w:val="0"/>
        <w:autoSpaceDN w:val="0"/>
        <w:adjustRightInd w:val="0"/>
        <w:jc w:val="center"/>
        <w:rPr>
          <w:rFonts w:hint="eastAsia" w:ascii="宋体" w:hAnsi="宋体" w:cs="宋体"/>
          <w:b/>
          <w:bCs/>
          <w:color w:val="000000"/>
          <w:sz w:val="28"/>
          <w:szCs w:val="28"/>
          <w:lang w:val="zh-CN"/>
        </w:rPr>
      </w:pPr>
    </w:p>
    <w:p w14:paraId="4D2490D2">
      <w:pPr>
        <w:autoSpaceDE w:val="0"/>
        <w:autoSpaceDN w:val="0"/>
        <w:adjustRightInd w:val="0"/>
        <w:jc w:val="center"/>
        <w:rPr>
          <w:rFonts w:hint="eastAsia" w:ascii="宋体" w:hAnsi="宋体" w:cs="宋体"/>
          <w:b/>
          <w:bCs/>
          <w:color w:val="000000"/>
          <w:sz w:val="28"/>
          <w:szCs w:val="28"/>
          <w:lang w:val="zh-CN"/>
        </w:rPr>
      </w:pPr>
    </w:p>
    <w:p w14:paraId="0ED49492">
      <w:pPr>
        <w:autoSpaceDE w:val="0"/>
        <w:autoSpaceDN w:val="0"/>
        <w:adjustRightInd w:val="0"/>
        <w:jc w:val="center"/>
        <w:rPr>
          <w:rFonts w:hint="eastAsia" w:ascii="宋体" w:hAnsi="宋体" w:cs="宋体"/>
          <w:b/>
          <w:bCs/>
          <w:color w:val="000000"/>
          <w:sz w:val="28"/>
          <w:szCs w:val="28"/>
          <w:lang w:val="zh-CN"/>
        </w:rPr>
      </w:pPr>
    </w:p>
    <w:p w14:paraId="0C545512">
      <w:pPr>
        <w:autoSpaceDE w:val="0"/>
        <w:autoSpaceDN w:val="0"/>
        <w:adjustRightInd w:val="0"/>
        <w:jc w:val="center"/>
        <w:rPr>
          <w:rFonts w:hint="eastAsia" w:ascii="宋体" w:hAnsi="宋体" w:cs="宋体"/>
          <w:b/>
          <w:bCs/>
          <w:color w:val="000000"/>
          <w:sz w:val="28"/>
          <w:szCs w:val="28"/>
          <w:lang w:val="zh-CN"/>
        </w:rPr>
      </w:pPr>
    </w:p>
    <w:p w14:paraId="1A505794">
      <w:pPr>
        <w:autoSpaceDE w:val="0"/>
        <w:autoSpaceDN w:val="0"/>
        <w:adjustRightInd w:val="0"/>
        <w:jc w:val="center"/>
        <w:rPr>
          <w:rFonts w:hint="eastAsia" w:ascii="宋体" w:hAnsi="宋体" w:cs="宋体"/>
          <w:b/>
          <w:bCs/>
          <w:color w:val="000000"/>
          <w:sz w:val="28"/>
          <w:szCs w:val="28"/>
          <w:lang w:val="zh-CN"/>
        </w:rPr>
      </w:pPr>
    </w:p>
    <w:p w14:paraId="173C798C">
      <w:pPr>
        <w:autoSpaceDE w:val="0"/>
        <w:autoSpaceDN w:val="0"/>
        <w:adjustRightInd w:val="0"/>
        <w:jc w:val="center"/>
        <w:rPr>
          <w:rFonts w:hint="eastAsia" w:ascii="宋体" w:hAnsi="宋体" w:cs="宋体"/>
          <w:b/>
          <w:bCs/>
          <w:color w:val="000000"/>
          <w:sz w:val="28"/>
          <w:szCs w:val="28"/>
          <w:lang w:val="zh-CN"/>
        </w:rPr>
      </w:pPr>
    </w:p>
    <w:p w14:paraId="060FACDB">
      <w:pPr>
        <w:autoSpaceDE w:val="0"/>
        <w:autoSpaceDN w:val="0"/>
        <w:adjustRightInd w:val="0"/>
        <w:jc w:val="center"/>
        <w:rPr>
          <w:rFonts w:hint="eastAsia" w:ascii="宋体" w:hAnsi="宋体" w:cs="宋体"/>
          <w:b/>
          <w:bCs/>
          <w:color w:val="000000"/>
          <w:sz w:val="28"/>
          <w:szCs w:val="28"/>
          <w:lang w:val="zh-CN"/>
        </w:rPr>
      </w:pPr>
    </w:p>
    <w:p w14:paraId="2266FB7E">
      <w:pPr>
        <w:autoSpaceDE w:val="0"/>
        <w:autoSpaceDN w:val="0"/>
        <w:adjustRightInd w:val="0"/>
        <w:jc w:val="center"/>
        <w:rPr>
          <w:rFonts w:hint="eastAsia" w:ascii="宋体" w:hAnsi="宋体" w:cs="宋体"/>
          <w:b/>
          <w:bCs/>
          <w:color w:val="000000"/>
          <w:sz w:val="28"/>
          <w:szCs w:val="28"/>
          <w:lang w:val="zh-CN"/>
        </w:rPr>
      </w:pPr>
    </w:p>
    <w:p w14:paraId="63CAD182">
      <w:pPr>
        <w:autoSpaceDE w:val="0"/>
        <w:autoSpaceDN w:val="0"/>
        <w:adjustRightInd w:val="0"/>
        <w:jc w:val="center"/>
        <w:rPr>
          <w:rFonts w:hint="eastAsia" w:ascii="宋体" w:hAnsi="宋体" w:cs="宋体"/>
          <w:b/>
          <w:bCs/>
          <w:color w:val="000000"/>
          <w:sz w:val="28"/>
          <w:szCs w:val="28"/>
          <w:lang w:val="zh-CN"/>
        </w:rPr>
      </w:pPr>
    </w:p>
    <w:p w14:paraId="76D46607">
      <w:pPr>
        <w:autoSpaceDE w:val="0"/>
        <w:autoSpaceDN w:val="0"/>
        <w:adjustRightInd w:val="0"/>
        <w:jc w:val="center"/>
        <w:rPr>
          <w:rFonts w:hint="eastAsia" w:ascii="宋体" w:hAnsi="宋体" w:cs="宋体"/>
          <w:b/>
          <w:bCs/>
          <w:color w:val="000000"/>
          <w:sz w:val="28"/>
          <w:szCs w:val="28"/>
          <w:lang w:val="zh-CN"/>
        </w:rPr>
      </w:pPr>
    </w:p>
    <w:p w14:paraId="4D5B19C5">
      <w:pPr>
        <w:autoSpaceDE w:val="0"/>
        <w:autoSpaceDN w:val="0"/>
        <w:adjustRightInd w:val="0"/>
        <w:jc w:val="center"/>
        <w:rPr>
          <w:rFonts w:hint="eastAsia" w:ascii="宋体" w:hAnsi="宋体" w:cs="宋体"/>
          <w:b/>
          <w:bCs/>
          <w:color w:val="000000"/>
          <w:sz w:val="28"/>
          <w:szCs w:val="28"/>
          <w:lang w:val="zh-CN"/>
        </w:rPr>
      </w:pPr>
    </w:p>
    <w:p w14:paraId="3AF884E4">
      <w:pPr>
        <w:autoSpaceDE w:val="0"/>
        <w:autoSpaceDN w:val="0"/>
        <w:adjustRightInd w:val="0"/>
        <w:jc w:val="center"/>
        <w:rPr>
          <w:rFonts w:hint="eastAsia" w:ascii="宋体" w:hAnsi="宋体" w:cs="宋体"/>
          <w:b/>
          <w:bCs/>
          <w:color w:val="000000"/>
          <w:sz w:val="28"/>
          <w:szCs w:val="28"/>
          <w:lang w:val="zh-CN"/>
        </w:rPr>
      </w:pPr>
    </w:p>
    <w:p w14:paraId="6B0EEF00">
      <w:pPr>
        <w:autoSpaceDE w:val="0"/>
        <w:autoSpaceDN w:val="0"/>
        <w:adjustRightInd w:val="0"/>
        <w:jc w:val="center"/>
        <w:rPr>
          <w:rFonts w:hint="eastAsia" w:ascii="宋体" w:hAnsi="宋体" w:cs="宋体"/>
          <w:b/>
          <w:bCs/>
          <w:color w:val="000000"/>
          <w:sz w:val="28"/>
          <w:szCs w:val="28"/>
          <w:lang w:val="zh-CN"/>
        </w:rPr>
      </w:pPr>
    </w:p>
    <w:p w14:paraId="36F3BA7A">
      <w:pPr>
        <w:pStyle w:val="3"/>
        <w:rPr>
          <w:lang w:val="zh-CN"/>
        </w:rPr>
      </w:pPr>
    </w:p>
    <w:p w14:paraId="3F45AE51">
      <w:pPr>
        <w:rPr>
          <w:lang w:val="zh-CN"/>
        </w:rPr>
      </w:pPr>
    </w:p>
    <w:p w14:paraId="6F3D24A7">
      <w:pPr>
        <w:autoSpaceDE w:val="0"/>
        <w:autoSpaceDN w:val="0"/>
        <w:adjustRightInd w:val="0"/>
        <w:jc w:val="center"/>
        <w:rPr>
          <w:rFonts w:hint="eastAsia" w:ascii="宋体" w:hAnsi="宋体" w:cs="宋体"/>
          <w:b/>
          <w:bCs/>
          <w:color w:val="000000"/>
          <w:sz w:val="28"/>
          <w:szCs w:val="28"/>
          <w:lang w:val="zh-CN"/>
        </w:rPr>
      </w:pPr>
    </w:p>
    <w:p w14:paraId="17B40299">
      <w:pPr>
        <w:spacing w:before="169" w:line="224" w:lineRule="auto"/>
        <w:jc w:val="center"/>
        <w:outlineLvl w:val="2"/>
        <w:rPr>
          <w:rFonts w:hint="eastAsia" w:ascii="宋体" w:hAnsi="宋体" w:cs="宋体"/>
          <w:sz w:val="28"/>
          <w:szCs w:val="28"/>
        </w:rPr>
      </w:pPr>
      <w:r>
        <w:rPr>
          <w:rFonts w:ascii="宋体" w:hAnsi="宋体" w:cs="宋体"/>
          <w:spacing w:val="-1"/>
          <w:sz w:val="28"/>
          <w:szCs w:val="28"/>
          <w14:textOutline w14:w="5105" w14:cap="sq" w14:cmpd="sng" w14:algn="ctr">
            <w14:solidFill>
              <w14:srgbClr w14:val="000000"/>
            </w14:solidFill>
            <w14:prstDash w14:val="solid"/>
            <w14:bevel/>
          </w14:textOutline>
        </w:rPr>
        <w:t>六、税收缴</w:t>
      </w:r>
      <w:r>
        <w:rPr>
          <w:rFonts w:ascii="宋体" w:hAnsi="宋体" w:cs="宋体"/>
          <w:sz w:val="28"/>
          <w:szCs w:val="28"/>
          <w14:textOutline w14:w="5105" w14:cap="sq" w14:cmpd="sng" w14:algn="ctr">
            <w14:solidFill>
              <w14:srgbClr w14:val="000000"/>
            </w14:solidFill>
            <w14:prstDash w14:val="solid"/>
            <w14:bevel/>
          </w14:textOutline>
        </w:rPr>
        <w:t>纳证明</w:t>
      </w:r>
    </w:p>
    <w:p w14:paraId="6FD458A8">
      <w:pPr>
        <w:spacing w:line="292" w:lineRule="auto"/>
        <w:rPr>
          <w:rFonts w:ascii="Arial"/>
        </w:rPr>
      </w:pPr>
    </w:p>
    <w:p w14:paraId="405A2443">
      <w:pPr>
        <w:rPr>
          <w:rFonts w:hint="eastAsia" w:ascii="宋体" w:hAnsi="宋体" w:cs="宋体"/>
          <w:sz w:val="24"/>
          <w:szCs w:val="24"/>
        </w:rPr>
      </w:pPr>
      <w:r>
        <w:rPr>
          <w:rFonts w:hint="eastAsia" w:ascii="宋体" w:hAnsi="宋体" w:cs="宋体"/>
          <w:sz w:val="24"/>
          <w:szCs w:val="24"/>
        </w:rPr>
        <w:t>说明：</w:t>
      </w:r>
    </w:p>
    <w:p w14:paraId="5D2DE24C">
      <w:pPr>
        <w:rPr>
          <w:rFonts w:hint="eastAsia" w:ascii="宋体" w:hAnsi="宋体" w:cs="宋体"/>
          <w:sz w:val="24"/>
          <w:szCs w:val="24"/>
        </w:rPr>
      </w:pPr>
      <w:r>
        <w:rPr>
          <w:rFonts w:hint="eastAsia" w:ascii="宋体" w:hAnsi="宋体" w:cs="宋体"/>
          <w:sz w:val="24"/>
          <w:szCs w:val="24"/>
        </w:rPr>
        <w:t>依法缴纳税收的良好记录，提供投标截止日前，一年内任一月份的缴税凭据或完税证明等；依法免税的，应提供相应文件证明其依法免税</w:t>
      </w:r>
      <w:r>
        <w:rPr>
          <w:rFonts w:hint="eastAsia" w:ascii="宋体" w:hAnsi="宋体" w:cs="宋体"/>
          <w:b/>
          <w:bCs/>
          <w:sz w:val="24"/>
          <w:szCs w:val="24"/>
        </w:rPr>
        <w:t>（投标文件内附复印件并加盖公章）</w:t>
      </w:r>
      <w:r>
        <w:rPr>
          <w:rFonts w:hint="eastAsia" w:ascii="宋体" w:hAnsi="宋体" w:cs="宋体"/>
          <w:sz w:val="24"/>
          <w:szCs w:val="24"/>
        </w:rPr>
        <w:t>。</w:t>
      </w:r>
    </w:p>
    <w:p w14:paraId="444F7425">
      <w:pPr>
        <w:autoSpaceDE w:val="0"/>
        <w:autoSpaceDN w:val="0"/>
        <w:adjustRightInd w:val="0"/>
        <w:jc w:val="center"/>
        <w:rPr>
          <w:rFonts w:hint="eastAsia" w:ascii="宋体" w:hAnsi="宋体" w:cs="宋体"/>
          <w:b/>
          <w:bCs/>
          <w:color w:val="000000"/>
          <w:sz w:val="28"/>
          <w:szCs w:val="28"/>
          <w:lang w:val="zh-CN"/>
        </w:rPr>
      </w:pPr>
    </w:p>
    <w:p w14:paraId="372796EB">
      <w:pPr>
        <w:autoSpaceDE w:val="0"/>
        <w:autoSpaceDN w:val="0"/>
        <w:adjustRightInd w:val="0"/>
        <w:jc w:val="center"/>
        <w:rPr>
          <w:rFonts w:hint="eastAsia" w:ascii="宋体" w:hAnsi="宋体" w:cs="宋体"/>
          <w:b/>
          <w:bCs/>
          <w:color w:val="000000"/>
          <w:sz w:val="28"/>
          <w:szCs w:val="28"/>
          <w:lang w:val="zh-CN"/>
        </w:rPr>
      </w:pPr>
    </w:p>
    <w:p w14:paraId="04D5894B">
      <w:pPr>
        <w:autoSpaceDE w:val="0"/>
        <w:autoSpaceDN w:val="0"/>
        <w:adjustRightInd w:val="0"/>
        <w:jc w:val="center"/>
        <w:rPr>
          <w:rFonts w:hint="eastAsia" w:ascii="宋体" w:hAnsi="宋体" w:cs="宋体"/>
          <w:b/>
          <w:bCs/>
          <w:color w:val="000000"/>
          <w:sz w:val="28"/>
          <w:szCs w:val="28"/>
          <w:lang w:val="zh-CN"/>
        </w:rPr>
      </w:pPr>
    </w:p>
    <w:p w14:paraId="0F00C682">
      <w:pPr>
        <w:autoSpaceDE w:val="0"/>
        <w:autoSpaceDN w:val="0"/>
        <w:adjustRightInd w:val="0"/>
        <w:jc w:val="center"/>
        <w:rPr>
          <w:rFonts w:hint="eastAsia" w:ascii="宋体" w:hAnsi="宋体" w:cs="宋体"/>
          <w:b/>
          <w:bCs/>
          <w:color w:val="000000"/>
          <w:sz w:val="28"/>
          <w:szCs w:val="28"/>
          <w:lang w:val="zh-CN"/>
        </w:rPr>
      </w:pPr>
    </w:p>
    <w:p w14:paraId="2BCC2EE9">
      <w:pPr>
        <w:autoSpaceDE w:val="0"/>
        <w:autoSpaceDN w:val="0"/>
        <w:adjustRightInd w:val="0"/>
        <w:jc w:val="center"/>
        <w:rPr>
          <w:rFonts w:hint="eastAsia" w:ascii="宋体" w:hAnsi="宋体" w:cs="宋体"/>
          <w:b/>
          <w:bCs/>
          <w:color w:val="000000"/>
          <w:sz w:val="28"/>
          <w:szCs w:val="28"/>
          <w:lang w:val="zh-CN"/>
        </w:rPr>
      </w:pPr>
    </w:p>
    <w:p w14:paraId="533077A3">
      <w:pPr>
        <w:autoSpaceDE w:val="0"/>
        <w:autoSpaceDN w:val="0"/>
        <w:adjustRightInd w:val="0"/>
        <w:jc w:val="center"/>
        <w:rPr>
          <w:rFonts w:hint="eastAsia" w:ascii="宋体" w:hAnsi="宋体" w:cs="宋体"/>
          <w:b/>
          <w:bCs/>
          <w:color w:val="000000"/>
          <w:sz w:val="28"/>
          <w:szCs w:val="28"/>
          <w:lang w:val="zh-CN"/>
        </w:rPr>
      </w:pPr>
    </w:p>
    <w:p w14:paraId="056A7DA3">
      <w:pPr>
        <w:autoSpaceDE w:val="0"/>
        <w:autoSpaceDN w:val="0"/>
        <w:adjustRightInd w:val="0"/>
        <w:jc w:val="center"/>
        <w:rPr>
          <w:rFonts w:hint="eastAsia" w:ascii="宋体" w:hAnsi="宋体" w:cs="宋体"/>
          <w:b/>
          <w:bCs/>
          <w:color w:val="000000"/>
          <w:sz w:val="28"/>
          <w:szCs w:val="28"/>
          <w:lang w:val="zh-CN"/>
        </w:rPr>
      </w:pPr>
    </w:p>
    <w:p w14:paraId="61628C63">
      <w:pPr>
        <w:autoSpaceDE w:val="0"/>
        <w:autoSpaceDN w:val="0"/>
        <w:adjustRightInd w:val="0"/>
        <w:jc w:val="center"/>
        <w:rPr>
          <w:rFonts w:hint="eastAsia" w:ascii="宋体" w:hAnsi="宋体" w:cs="宋体"/>
          <w:b/>
          <w:bCs/>
          <w:color w:val="000000"/>
          <w:sz w:val="28"/>
          <w:szCs w:val="28"/>
          <w:lang w:val="zh-CN"/>
        </w:rPr>
      </w:pPr>
    </w:p>
    <w:p w14:paraId="1CB09852">
      <w:pPr>
        <w:autoSpaceDE w:val="0"/>
        <w:autoSpaceDN w:val="0"/>
        <w:adjustRightInd w:val="0"/>
        <w:jc w:val="center"/>
        <w:rPr>
          <w:rFonts w:hint="eastAsia" w:ascii="宋体" w:hAnsi="宋体" w:cs="宋体"/>
          <w:b/>
          <w:bCs/>
          <w:color w:val="000000"/>
          <w:sz w:val="28"/>
          <w:szCs w:val="28"/>
          <w:lang w:val="zh-CN"/>
        </w:rPr>
      </w:pPr>
    </w:p>
    <w:p w14:paraId="3DD039E9">
      <w:pPr>
        <w:autoSpaceDE w:val="0"/>
        <w:autoSpaceDN w:val="0"/>
        <w:adjustRightInd w:val="0"/>
        <w:jc w:val="center"/>
        <w:rPr>
          <w:rFonts w:hint="eastAsia" w:ascii="宋体" w:hAnsi="宋体" w:cs="宋体"/>
          <w:b/>
          <w:bCs/>
          <w:color w:val="000000"/>
          <w:sz w:val="28"/>
          <w:szCs w:val="28"/>
          <w:lang w:val="zh-CN"/>
        </w:rPr>
      </w:pPr>
    </w:p>
    <w:p w14:paraId="784A7B5B">
      <w:pPr>
        <w:autoSpaceDE w:val="0"/>
        <w:autoSpaceDN w:val="0"/>
        <w:adjustRightInd w:val="0"/>
        <w:jc w:val="center"/>
        <w:rPr>
          <w:rFonts w:hint="eastAsia" w:ascii="宋体" w:hAnsi="宋体" w:cs="宋体"/>
          <w:b/>
          <w:bCs/>
          <w:color w:val="000000"/>
          <w:sz w:val="28"/>
          <w:szCs w:val="28"/>
          <w:lang w:val="zh-CN"/>
        </w:rPr>
      </w:pPr>
    </w:p>
    <w:p w14:paraId="5C6B387C">
      <w:pPr>
        <w:autoSpaceDE w:val="0"/>
        <w:autoSpaceDN w:val="0"/>
        <w:adjustRightInd w:val="0"/>
        <w:jc w:val="center"/>
        <w:rPr>
          <w:rFonts w:hint="eastAsia" w:ascii="宋体" w:hAnsi="宋体" w:cs="宋体"/>
          <w:b/>
          <w:bCs/>
          <w:color w:val="000000"/>
          <w:sz w:val="28"/>
          <w:szCs w:val="28"/>
          <w:lang w:val="zh-CN"/>
        </w:rPr>
      </w:pPr>
    </w:p>
    <w:p w14:paraId="1862D294">
      <w:pPr>
        <w:autoSpaceDE w:val="0"/>
        <w:autoSpaceDN w:val="0"/>
        <w:adjustRightInd w:val="0"/>
        <w:jc w:val="center"/>
        <w:rPr>
          <w:rFonts w:hint="eastAsia" w:ascii="宋体" w:hAnsi="宋体" w:cs="宋体"/>
          <w:b/>
          <w:bCs/>
          <w:color w:val="000000"/>
          <w:sz w:val="28"/>
          <w:szCs w:val="28"/>
          <w:lang w:val="zh-CN"/>
        </w:rPr>
      </w:pPr>
    </w:p>
    <w:p w14:paraId="22352FF7">
      <w:pPr>
        <w:autoSpaceDE w:val="0"/>
        <w:autoSpaceDN w:val="0"/>
        <w:adjustRightInd w:val="0"/>
        <w:jc w:val="center"/>
        <w:rPr>
          <w:rFonts w:hint="eastAsia" w:ascii="宋体" w:hAnsi="宋体" w:cs="宋体"/>
          <w:b/>
          <w:bCs/>
          <w:color w:val="000000"/>
          <w:sz w:val="28"/>
          <w:szCs w:val="28"/>
          <w:lang w:val="zh-CN"/>
        </w:rPr>
      </w:pPr>
    </w:p>
    <w:p w14:paraId="6D7DD30C">
      <w:pPr>
        <w:autoSpaceDE w:val="0"/>
        <w:autoSpaceDN w:val="0"/>
        <w:adjustRightInd w:val="0"/>
        <w:jc w:val="center"/>
        <w:rPr>
          <w:rFonts w:hint="eastAsia" w:ascii="宋体" w:hAnsi="宋体" w:cs="宋体"/>
          <w:b/>
          <w:bCs/>
          <w:color w:val="000000"/>
          <w:sz w:val="28"/>
          <w:szCs w:val="28"/>
          <w:lang w:val="zh-CN"/>
        </w:rPr>
      </w:pPr>
    </w:p>
    <w:p w14:paraId="0F1655AB">
      <w:pPr>
        <w:autoSpaceDE w:val="0"/>
        <w:autoSpaceDN w:val="0"/>
        <w:adjustRightInd w:val="0"/>
        <w:jc w:val="center"/>
        <w:rPr>
          <w:rFonts w:hint="eastAsia" w:ascii="宋体" w:hAnsi="宋体" w:cs="宋体"/>
          <w:b/>
          <w:bCs/>
          <w:color w:val="000000"/>
          <w:sz w:val="28"/>
          <w:szCs w:val="28"/>
          <w:lang w:val="zh-CN"/>
        </w:rPr>
      </w:pPr>
    </w:p>
    <w:p w14:paraId="66E14095">
      <w:pPr>
        <w:autoSpaceDE w:val="0"/>
        <w:autoSpaceDN w:val="0"/>
        <w:adjustRightInd w:val="0"/>
        <w:jc w:val="center"/>
        <w:rPr>
          <w:rFonts w:hint="eastAsia" w:ascii="宋体" w:hAnsi="宋体" w:cs="宋体"/>
          <w:b/>
          <w:bCs/>
          <w:color w:val="000000"/>
          <w:sz w:val="28"/>
          <w:szCs w:val="28"/>
          <w:lang w:val="zh-CN"/>
        </w:rPr>
      </w:pPr>
    </w:p>
    <w:p w14:paraId="6A778E8F">
      <w:pPr>
        <w:autoSpaceDE w:val="0"/>
        <w:autoSpaceDN w:val="0"/>
        <w:adjustRightInd w:val="0"/>
        <w:jc w:val="center"/>
        <w:rPr>
          <w:rFonts w:hint="eastAsia" w:ascii="宋体" w:hAnsi="宋体" w:cs="宋体"/>
          <w:b/>
          <w:bCs/>
          <w:color w:val="000000"/>
          <w:sz w:val="28"/>
          <w:szCs w:val="28"/>
          <w:lang w:val="zh-CN"/>
        </w:rPr>
      </w:pPr>
    </w:p>
    <w:p w14:paraId="07A4FC83">
      <w:pPr>
        <w:autoSpaceDE w:val="0"/>
        <w:autoSpaceDN w:val="0"/>
        <w:adjustRightInd w:val="0"/>
        <w:jc w:val="center"/>
        <w:rPr>
          <w:rFonts w:hint="eastAsia" w:ascii="宋体" w:hAnsi="宋体" w:cs="宋体"/>
          <w:b/>
          <w:bCs/>
          <w:color w:val="000000"/>
          <w:sz w:val="28"/>
          <w:szCs w:val="28"/>
          <w:lang w:val="zh-CN"/>
        </w:rPr>
      </w:pPr>
    </w:p>
    <w:p w14:paraId="5F77EB08">
      <w:pPr>
        <w:pStyle w:val="7"/>
        <w:rPr>
          <w:rFonts w:hint="eastAsia" w:ascii="宋体" w:hAnsi="宋体" w:cs="宋体"/>
          <w:b/>
          <w:bCs/>
          <w:color w:val="000000"/>
          <w:sz w:val="28"/>
          <w:szCs w:val="28"/>
          <w:lang w:val="zh-CN"/>
        </w:rPr>
      </w:pPr>
    </w:p>
    <w:p w14:paraId="168069A6">
      <w:pPr>
        <w:pStyle w:val="8"/>
        <w:ind w:left="5250"/>
        <w:rPr>
          <w:rFonts w:hint="eastAsia" w:ascii="宋体" w:hAnsi="宋体" w:cs="宋体"/>
          <w:b/>
          <w:bCs/>
          <w:color w:val="000000"/>
          <w:sz w:val="28"/>
          <w:szCs w:val="28"/>
          <w:lang w:val="zh-CN"/>
        </w:rPr>
      </w:pPr>
    </w:p>
    <w:p w14:paraId="5761D3AE">
      <w:pPr>
        <w:rPr>
          <w:lang w:val="zh-CN"/>
        </w:rPr>
      </w:pPr>
    </w:p>
    <w:p w14:paraId="5F0293E6">
      <w:pPr>
        <w:spacing w:before="168" w:line="232" w:lineRule="auto"/>
        <w:jc w:val="center"/>
        <w:outlineLvl w:val="2"/>
        <w:rPr>
          <w:rFonts w:hint="eastAsia" w:ascii="宋体" w:hAnsi="宋体" w:cs="宋体"/>
          <w:sz w:val="28"/>
          <w:szCs w:val="28"/>
        </w:rPr>
      </w:pPr>
      <w:r>
        <w:rPr>
          <w:rFonts w:ascii="宋体" w:hAnsi="宋体" w:cs="宋体"/>
          <w:spacing w:val="1"/>
          <w:sz w:val="28"/>
          <w:szCs w:val="28"/>
          <w14:textOutline w14:w="5105" w14:cap="sq" w14:cmpd="sng" w14:algn="ctr">
            <w14:solidFill>
              <w14:srgbClr w14:val="000000"/>
            </w14:solidFill>
            <w14:prstDash w14:val="solid"/>
            <w14:bevel/>
          </w14:textOutline>
        </w:rPr>
        <w:t>七、</w:t>
      </w:r>
      <w:r>
        <w:rPr>
          <w:rFonts w:ascii="宋体" w:hAnsi="宋体" w:cs="宋体"/>
          <w:sz w:val="28"/>
          <w:szCs w:val="28"/>
          <w14:textOutline w14:w="5105" w14:cap="sq" w14:cmpd="sng" w14:algn="ctr">
            <w14:solidFill>
              <w14:srgbClr w14:val="000000"/>
            </w14:solidFill>
            <w14:prstDash w14:val="solid"/>
            <w14:bevel/>
          </w14:textOutline>
        </w:rPr>
        <w:t>缴纳社会保障资金证明</w:t>
      </w:r>
    </w:p>
    <w:p w14:paraId="00F0C8A8">
      <w:pPr>
        <w:rPr>
          <w:rFonts w:hint="eastAsia" w:ascii="宋体" w:hAnsi="宋体" w:cs="宋体"/>
          <w:sz w:val="24"/>
          <w:szCs w:val="24"/>
        </w:rPr>
      </w:pPr>
    </w:p>
    <w:p w14:paraId="304E904D">
      <w:pPr>
        <w:rPr>
          <w:rFonts w:hint="eastAsia" w:ascii="宋体" w:hAnsi="宋体" w:cs="宋体"/>
          <w:sz w:val="24"/>
          <w:szCs w:val="24"/>
        </w:rPr>
      </w:pPr>
      <w:r>
        <w:rPr>
          <w:rFonts w:hint="eastAsia" w:ascii="宋体" w:hAnsi="宋体" w:cs="宋体"/>
          <w:sz w:val="24"/>
          <w:szCs w:val="24"/>
        </w:rPr>
        <w:t>说明：</w:t>
      </w:r>
    </w:p>
    <w:p w14:paraId="5102A773">
      <w:r>
        <w:rPr>
          <w:rFonts w:hint="eastAsia" w:ascii="宋体" w:hAnsi="宋体" w:cs="宋体"/>
          <w:sz w:val="24"/>
          <w:szCs w:val="24"/>
        </w:rPr>
        <w:t>依法缴纳社会保障资金的良好记录，提供投标截止日前，一年内任一月份缴纳社会保险的凭据；依法不需要缴纳社会保险的，应提供相应文件证明其依法不需要缴纳社会保险。</w:t>
      </w:r>
      <w:r>
        <w:rPr>
          <w:rFonts w:hint="eastAsia" w:ascii="宋体" w:hAnsi="宋体" w:cs="宋体"/>
          <w:b/>
          <w:bCs/>
          <w:sz w:val="24"/>
          <w:szCs w:val="24"/>
        </w:rPr>
        <w:t>（投标文件内附复印件并加盖公章）</w:t>
      </w:r>
    </w:p>
    <w:p w14:paraId="6DDEC512">
      <w:pPr>
        <w:rPr>
          <w:rFonts w:hint="eastAsia" w:ascii="宋体" w:hAnsi="宋体" w:cs="宋体"/>
          <w:sz w:val="24"/>
          <w:szCs w:val="24"/>
        </w:rPr>
      </w:pPr>
    </w:p>
    <w:p w14:paraId="163B476A">
      <w:pPr>
        <w:pStyle w:val="3"/>
        <w:rPr>
          <w:rFonts w:hint="eastAsia" w:ascii="宋体" w:hAnsi="宋体" w:eastAsia="宋体" w:cs="宋体"/>
          <w:sz w:val="24"/>
          <w:szCs w:val="24"/>
        </w:rPr>
      </w:pPr>
    </w:p>
    <w:p w14:paraId="7B2F7B5B">
      <w:pPr>
        <w:rPr>
          <w:rFonts w:hint="eastAsia" w:ascii="宋体" w:hAnsi="宋体" w:cs="宋体"/>
          <w:sz w:val="24"/>
          <w:szCs w:val="24"/>
        </w:rPr>
      </w:pPr>
    </w:p>
    <w:p w14:paraId="679C47B2">
      <w:pPr>
        <w:pStyle w:val="3"/>
        <w:rPr>
          <w:rFonts w:hint="eastAsia" w:ascii="宋体" w:hAnsi="宋体" w:eastAsia="宋体" w:cs="宋体"/>
          <w:sz w:val="24"/>
          <w:szCs w:val="24"/>
        </w:rPr>
      </w:pPr>
    </w:p>
    <w:p w14:paraId="71775865">
      <w:pPr>
        <w:rPr>
          <w:rFonts w:hint="eastAsia" w:ascii="宋体" w:hAnsi="宋体" w:cs="宋体"/>
          <w:sz w:val="24"/>
          <w:szCs w:val="24"/>
        </w:rPr>
      </w:pPr>
    </w:p>
    <w:p w14:paraId="0A8707A4">
      <w:pPr>
        <w:pStyle w:val="3"/>
        <w:rPr>
          <w:rFonts w:hint="eastAsia" w:ascii="宋体" w:hAnsi="宋体" w:eastAsia="宋体" w:cs="宋体"/>
          <w:sz w:val="24"/>
          <w:szCs w:val="24"/>
        </w:rPr>
      </w:pPr>
    </w:p>
    <w:p w14:paraId="793CD63F">
      <w:pPr>
        <w:rPr>
          <w:rFonts w:hint="eastAsia" w:ascii="宋体" w:hAnsi="宋体" w:cs="宋体"/>
          <w:sz w:val="24"/>
          <w:szCs w:val="24"/>
        </w:rPr>
      </w:pPr>
    </w:p>
    <w:p w14:paraId="2DF42D84">
      <w:pPr>
        <w:pStyle w:val="3"/>
        <w:rPr>
          <w:rFonts w:hint="eastAsia" w:ascii="宋体" w:hAnsi="宋体" w:eastAsia="宋体" w:cs="宋体"/>
          <w:sz w:val="24"/>
          <w:szCs w:val="24"/>
        </w:rPr>
      </w:pPr>
    </w:p>
    <w:p w14:paraId="0B82F9E6">
      <w:pPr>
        <w:rPr>
          <w:rFonts w:hint="eastAsia" w:ascii="宋体" w:hAnsi="宋体" w:cs="宋体"/>
          <w:sz w:val="24"/>
          <w:szCs w:val="24"/>
        </w:rPr>
      </w:pPr>
    </w:p>
    <w:p w14:paraId="3AB990F8">
      <w:pPr>
        <w:autoSpaceDE w:val="0"/>
        <w:autoSpaceDN w:val="0"/>
        <w:adjustRightInd w:val="0"/>
        <w:jc w:val="center"/>
        <w:rPr>
          <w:rFonts w:hint="eastAsia" w:ascii="宋体" w:hAnsi="宋体" w:cs="宋体"/>
          <w:b/>
          <w:bCs/>
          <w:color w:val="000000"/>
          <w:sz w:val="28"/>
          <w:szCs w:val="28"/>
        </w:rPr>
      </w:pPr>
    </w:p>
    <w:p w14:paraId="7BFB5E92">
      <w:pPr>
        <w:autoSpaceDE w:val="0"/>
        <w:autoSpaceDN w:val="0"/>
        <w:adjustRightInd w:val="0"/>
        <w:jc w:val="center"/>
        <w:rPr>
          <w:rFonts w:hint="eastAsia" w:ascii="宋体" w:hAnsi="宋体" w:cs="宋体"/>
          <w:b/>
          <w:bCs/>
          <w:color w:val="000000"/>
          <w:sz w:val="28"/>
          <w:szCs w:val="28"/>
        </w:rPr>
      </w:pPr>
    </w:p>
    <w:p w14:paraId="7567F721"/>
    <w:p w14:paraId="3080A300">
      <w:pPr>
        <w:spacing w:before="101" w:line="227" w:lineRule="auto"/>
        <w:outlineLvl w:val="1"/>
        <w:rPr>
          <w:rFonts w:hint="eastAsia" w:ascii="黑体" w:hAnsi="黑体" w:eastAsia="黑体" w:cs="黑体"/>
          <w:spacing w:val="12"/>
          <w:sz w:val="31"/>
          <w:szCs w:val="31"/>
          <w14:textOutline w14:w="5791" w14:cap="sq" w14:cmpd="sng" w14:algn="ctr">
            <w14:solidFill>
              <w14:srgbClr w14:val="000000"/>
            </w14:solidFill>
            <w14:prstDash w14:val="solid"/>
            <w14:bevel/>
          </w14:textOutline>
        </w:rPr>
      </w:pPr>
    </w:p>
    <w:p w14:paraId="51FA1423">
      <w:pPr>
        <w:spacing w:before="101" w:line="227" w:lineRule="auto"/>
        <w:outlineLvl w:val="1"/>
        <w:rPr>
          <w:rFonts w:hint="eastAsia" w:ascii="黑体" w:hAnsi="黑体" w:eastAsia="黑体" w:cs="黑体"/>
          <w:spacing w:val="12"/>
          <w:sz w:val="31"/>
          <w:szCs w:val="31"/>
          <w14:textOutline w14:w="5791" w14:cap="sq" w14:cmpd="sng" w14:algn="ctr">
            <w14:solidFill>
              <w14:srgbClr w14:val="000000"/>
            </w14:solidFill>
            <w14:prstDash w14:val="solid"/>
            <w14:bevel/>
          </w14:textOutline>
        </w:rPr>
      </w:pPr>
    </w:p>
    <w:p w14:paraId="01E35417">
      <w:pPr>
        <w:spacing w:before="168" w:line="232" w:lineRule="auto"/>
        <w:jc w:val="center"/>
        <w:outlineLvl w:val="2"/>
        <w:rPr>
          <w:rFonts w:hint="eastAsia" w:ascii="宋体" w:hAnsi="宋体" w:cs="宋体"/>
          <w:b/>
          <w:bCs/>
          <w:sz w:val="28"/>
          <w:szCs w:val="28"/>
        </w:rPr>
      </w:pPr>
      <w:r>
        <w:rPr>
          <w:rFonts w:hint="eastAsia" w:ascii="宋体" w:hAnsi="宋体" w:cs="宋体"/>
          <w:b/>
          <w:bCs/>
          <w:spacing w:val="1"/>
          <w:sz w:val="28"/>
          <w:szCs w:val="28"/>
        </w:rPr>
        <w:t>八</w:t>
      </w:r>
      <w:r>
        <w:rPr>
          <w:rFonts w:ascii="宋体" w:hAnsi="宋体" w:cs="宋体"/>
          <w:b/>
          <w:bCs/>
          <w:spacing w:val="1"/>
          <w:sz w:val="28"/>
          <w:szCs w:val="28"/>
        </w:rPr>
        <w:t>、</w:t>
      </w:r>
      <w:r>
        <w:rPr>
          <w:rFonts w:hint="eastAsia" w:ascii="宋体" w:hAnsi="宋体" w:cs="宋体"/>
          <w:b/>
          <w:bCs/>
          <w:spacing w:val="1"/>
          <w:sz w:val="28"/>
          <w:szCs w:val="28"/>
          <w:lang w:val="zh-CN"/>
        </w:rPr>
        <w:t>良好信用记录</w:t>
      </w:r>
    </w:p>
    <w:p w14:paraId="091DB3E0">
      <w:pPr>
        <w:rPr>
          <w:rFonts w:hint="eastAsia" w:ascii="宋体" w:hAnsi="宋体" w:cs="宋体"/>
          <w:sz w:val="24"/>
          <w:szCs w:val="24"/>
        </w:rPr>
      </w:pPr>
    </w:p>
    <w:p w14:paraId="538A50B9">
      <w:pPr>
        <w:rPr>
          <w:rFonts w:hint="eastAsia" w:ascii="宋体" w:hAnsi="宋体" w:cs="宋体"/>
          <w:sz w:val="24"/>
          <w:szCs w:val="24"/>
        </w:rPr>
      </w:pPr>
      <w:r>
        <w:rPr>
          <w:rFonts w:hint="eastAsia" w:ascii="宋体" w:hAnsi="宋体" w:cs="宋体"/>
          <w:sz w:val="24"/>
          <w:szCs w:val="24"/>
        </w:rPr>
        <w:t>说明：</w:t>
      </w:r>
    </w:p>
    <w:p w14:paraId="7C47AA74">
      <w:pPr>
        <w:spacing w:before="101" w:line="227" w:lineRule="auto"/>
        <w:jc w:val="left"/>
        <w:outlineLvl w:val="1"/>
        <w:rPr>
          <w:rFonts w:hint="eastAsia" w:ascii="黑体" w:hAnsi="黑体" w:eastAsia="黑体" w:cs="黑体"/>
          <w:spacing w:val="12"/>
          <w:sz w:val="31"/>
          <w:szCs w:val="31"/>
        </w:rPr>
      </w:pPr>
      <w:r>
        <w:rPr>
          <w:rFonts w:hint="eastAsia" w:ascii="宋体" w:hAnsi="宋体" w:cs="宋体"/>
          <w:bCs/>
          <w:sz w:val="24"/>
          <w:szCs w:val="24"/>
          <w:lang w:val="zh-CN"/>
        </w:rPr>
        <w:t>提供</w:t>
      </w:r>
      <w:r>
        <w:rPr>
          <w:rFonts w:hint="eastAsia" w:ascii="宋体" w:hAnsi="宋体" w:cs="宋体"/>
          <w:bCs/>
          <w:sz w:val="24"/>
          <w:szCs w:val="24"/>
        </w:rPr>
        <w:t>“</w:t>
      </w:r>
      <w:r>
        <w:rPr>
          <w:rFonts w:hint="eastAsia" w:ascii="宋体" w:hAnsi="宋体" w:cs="宋体"/>
          <w:bCs/>
          <w:sz w:val="24"/>
          <w:szCs w:val="24"/>
          <w:lang w:val="zh-CN"/>
        </w:rPr>
        <w:t>信用中国</w:t>
      </w:r>
      <w:r>
        <w:rPr>
          <w:rFonts w:hint="eastAsia" w:ascii="宋体" w:hAnsi="宋体" w:cs="宋体"/>
          <w:bCs/>
          <w:sz w:val="24"/>
          <w:szCs w:val="24"/>
        </w:rPr>
        <w:t>”</w:t>
      </w:r>
      <w:r>
        <w:rPr>
          <w:rFonts w:hint="eastAsia" w:ascii="宋体" w:hAnsi="宋体" w:cs="宋体"/>
          <w:bCs/>
          <w:sz w:val="24"/>
          <w:szCs w:val="24"/>
          <w:lang w:val="zh-CN"/>
        </w:rPr>
        <w:t>网站</w:t>
      </w:r>
      <w:r>
        <w:rPr>
          <w:rFonts w:hint="eastAsia" w:ascii="宋体" w:hAnsi="宋体" w:cs="宋体"/>
          <w:bCs/>
          <w:sz w:val="24"/>
          <w:szCs w:val="24"/>
        </w:rPr>
        <w:t>（www.creditchina.gov.cn）</w:t>
      </w:r>
      <w:r>
        <w:rPr>
          <w:rFonts w:hint="eastAsia" w:ascii="宋体" w:hAnsi="宋体" w:cs="宋体"/>
          <w:bCs/>
          <w:sz w:val="24"/>
          <w:szCs w:val="24"/>
          <w:lang w:val="zh-CN"/>
        </w:rPr>
        <w:t>、中国政府采购网</w:t>
      </w:r>
      <w:r>
        <w:rPr>
          <w:rFonts w:hint="eastAsia" w:ascii="宋体" w:hAnsi="宋体" w:cs="宋体"/>
          <w:bCs/>
          <w:sz w:val="24"/>
          <w:szCs w:val="24"/>
        </w:rPr>
        <w:t>（www.ccgp.gov.cn）</w:t>
      </w:r>
      <w:r>
        <w:rPr>
          <w:rFonts w:hint="eastAsia" w:ascii="宋体" w:hAnsi="宋体" w:cs="宋体"/>
          <w:bCs/>
          <w:sz w:val="24"/>
          <w:szCs w:val="24"/>
          <w:lang w:val="zh-CN"/>
        </w:rPr>
        <w:t>渠道查询投标人信用记录。经查询，列入失信被执行人、重大税收违法失信主体、政府采购严重违法失信行为记录名单，其投标无效。</w:t>
      </w:r>
      <w:r>
        <w:rPr>
          <w:rFonts w:hint="eastAsia" w:ascii="宋体" w:hAnsi="宋体" w:cs="宋体"/>
          <w:b/>
          <w:sz w:val="24"/>
          <w:szCs w:val="24"/>
          <w:lang w:val="zh-CN"/>
        </w:rPr>
        <w:t>（标书内</w:t>
      </w:r>
      <w:r>
        <w:rPr>
          <w:rFonts w:hint="eastAsia" w:ascii="宋体" w:hAnsi="宋体" w:cs="宋体"/>
          <w:b/>
          <w:sz w:val="24"/>
          <w:szCs w:val="24"/>
        </w:rPr>
        <w:t>附</w:t>
      </w:r>
      <w:r>
        <w:rPr>
          <w:rFonts w:hint="eastAsia" w:ascii="宋体" w:hAnsi="宋体" w:cs="宋体"/>
          <w:b/>
          <w:sz w:val="24"/>
          <w:szCs w:val="24"/>
          <w:lang w:val="zh-CN"/>
        </w:rPr>
        <w:t>网站截图加盖公章）</w:t>
      </w:r>
    </w:p>
    <w:p w14:paraId="64630C37">
      <w:pPr>
        <w:spacing w:before="101" w:line="227" w:lineRule="auto"/>
        <w:outlineLvl w:val="1"/>
        <w:rPr>
          <w:rFonts w:hint="eastAsia" w:ascii="黑体" w:hAnsi="黑体" w:eastAsia="黑体" w:cs="黑体"/>
          <w:spacing w:val="12"/>
          <w:sz w:val="31"/>
          <w:szCs w:val="31"/>
          <w14:textOutline w14:w="5791" w14:cap="sq" w14:cmpd="sng" w14:algn="ctr">
            <w14:solidFill>
              <w14:srgbClr w14:val="000000"/>
            </w14:solidFill>
            <w14:prstDash w14:val="solid"/>
            <w14:bevel/>
          </w14:textOutline>
        </w:rPr>
      </w:pPr>
    </w:p>
    <w:p w14:paraId="46D87F5C">
      <w:pPr>
        <w:spacing w:before="101" w:line="227" w:lineRule="auto"/>
        <w:outlineLvl w:val="1"/>
        <w:rPr>
          <w:rFonts w:hint="eastAsia" w:ascii="黑体" w:hAnsi="黑体" w:eastAsia="黑体" w:cs="黑体"/>
          <w:spacing w:val="12"/>
          <w:sz w:val="31"/>
          <w:szCs w:val="31"/>
          <w14:textOutline w14:w="5791" w14:cap="sq" w14:cmpd="sng" w14:algn="ctr">
            <w14:solidFill>
              <w14:srgbClr w14:val="000000"/>
            </w14:solidFill>
            <w14:prstDash w14:val="solid"/>
            <w14:bevel/>
          </w14:textOutline>
        </w:rPr>
      </w:pPr>
    </w:p>
    <w:p w14:paraId="7A9ABD0B">
      <w:pPr>
        <w:spacing w:before="101" w:line="227" w:lineRule="auto"/>
        <w:outlineLvl w:val="1"/>
        <w:rPr>
          <w:rFonts w:hint="eastAsia" w:ascii="黑体" w:hAnsi="黑体" w:eastAsia="黑体" w:cs="黑体"/>
          <w:spacing w:val="12"/>
          <w:sz w:val="31"/>
          <w:szCs w:val="31"/>
          <w14:textOutline w14:w="5791" w14:cap="sq" w14:cmpd="sng" w14:algn="ctr">
            <w14:solidFill>
              <w14:srgbClr w14:val="000000"/>
            </w14:solidFill>
            <w14:prstDash w14:val="solid"/>
            <w14:bevel/>
          </w14:textOutline>
        </w:rPr>
      </w:pPr>
    </w:p>
    <w:p w14:paraId="1D5339EC">
      <w:pPr>
        <w:spacing w:before="101" w:line="227" w:lineRule="auto"/>
        <w:outlineLvl w:val="1"/>
        <w:rPr>
          <w:rFonts w:hint="eastAsia" w:ascii="黑体" w:hAnsi="黑体" w:eastAsia="黑体" w:cs="黑体"/>
          <w:spacing w:val="12"/>
          <w:sz w:val="31"/>
          <w:szCs w:val="31"/>
          <w14:textOutline w14:w="5791" w14:cap="sq" w14:cmpd="sng" w14:algn="ctr">
            <w14:solidFill>
              <w14:srgbClr w14:val="000000"/>
            </w14:solidFill>
            <w14:prstDash w14:val="solid"/>
            <w14:bevel/>
          </w14:textOutline>
        </w:rPr>
      </w:pPr>
    </w:p>
    <w:p w14:paraId="1CE1CE01">
      <w:pPr>
        <w:spacing w:before="101" w:line="227" w:lineRule="auto"/>
        <w:outlineLvl w:val="1"/>
        <w:rPr>
          <w:rFonts w:hint="eastAsia" w:ascii="黑体" w:hAnsi="黑体" w:eastAsia="黑体" w:cs="黑体"/>
          <w:spacing w:val="12"/>
          <w:sz w:val="31"/>
          <w:szCs w:val="31"/>
          <w14:textOutline w14:w="5791" w14:cap="sq" w14:cmpd="sng" w14:algn="ctr">
            <w14:solidFill>
              <w14:srgbClr w14:val="000000"/>
            </w14:solidFill>
            <w14:prstDash w14:val="solid"/>
            <w14:bevel/>
          </w14:textOutline>
        </w:rPr>
      </w:pPr>
    </w:p>
    <w:p w14:paraId="1DA8C9D7">
      <w:pPr>
        <w:pStyle w:val="20"/>
        <w:ind w:firstLine="668"/>
        <w:rPr>
          <w:rFonts w:hint="eastAsia" w:ascii="黑体" w:hAnsi="黑体" w:eastAsia="黑体" w:cs="黑体"/>
          <w:spacing w:val="12"/>
          <w:sz w:val="31"/>
          <w:szCs w:val="31"/>
          <w14:textOutline w14:w="5791" w14:cap="sq" w14:cmpd="sng" w14:algn="ctr">
            <w14:solidFill>
              <w14:srgbClr w14:val="000000"/>
            </w14:solidFill>
            <w14:prstDash w14:val="solid"/>
            <w14:bevel/>
          </w14:textOutline>
        </w:rPr>
      </w:pPr>
    </w:p>
    <w:p w14:paraId="6F540FE6">
      <w:pPr>
        <w:rPr>
          <w:rFonts w:hint="eastAsia" w:ascii="黑体" w:hAnsi="黑体" w:eastAsia="黑体" w:cs="黑体"/>
          <w:spacing w:val="12"/>
          <w:sz w:val="31"/>
          <w:szCs w:val="31"/>
          <w14:textOutline w14:w="5791" w14:cap="sq" w14:cmpd="sng" w14:algn="ctr">
            <w14:solidFill>
              <w14:srgbClr w14:val="000000"/>
            </w14:solidFill>
            <w14:prstDash w14:val="solid"/>
            <w14:bevel/>
          </w14:textOutline>
        </w:rPr>
      </w:pPr>
    </w:p>
    <w:p w14:paraId="06F2DFBF">
      <w:pPr>
        <w:pStyle w:val="20"/>
        <w:ind w:firstLine="668"/>
        <w:rPr>
          <w:rFonts w:hint="eastAsia" w:ascii="黑体" w:hAnsi="黑体" w:eastAsia="黑体" w:cs="黑体"/>
          <w:spacing w:val="12"/>
          <w:sz w:val="31"/>
          <w:szCs w:val="31"/>
          <w14:textOutline w14:w="5791" w14:cap="sq" w14:cmpd="sng" w14:algn="ctr">
            <w14:solidFill>
              <w14:srgbClr w14:val="000000"/>
            </w14:solidFill>
            <w14:prstDash w14:val="solid"/>
            <w14:bevel/>
          </w14:textOutline>
        </w:rPr>
      </w:pPr>
    </w:p>
    <w:p w14:paraId="2E7E5929">
      <w:pPr>
        <w:rPr>
          <w:rFonts w:hint="eastAsia" w:ascii="黑体" w:hAnsi="黑体" w:eastAsia="黑体" w:cs="黑体"/>
          <w:spacing w:val="12"/>
          <w:sz w:val="31"/>
          <w:szCs w:val="31"/>
          <w14:textOutline w14:w="5791" w14:cap="sq" w14:cmpd="sng" w14:algn="ctr">
            <w14:solidFill>
              <w14:srgbClr w14:val="000000"/>
            </w14:solidFill>
            <w14:prstDash w14:val="solid"/>
            <w14:bevel/>
          </w14:textOutline>
        </w:rPr>
      </w:pPr>
    </w:p>
    <w:p w14:paraId="402F4B44">
      <w:pPr>
        <w:pStyle w:val="20"/>
        <w:ind w:firstLine="668"/>
        <w:rPr>
          <w:rFonts w:hint="eastAsia" w:ascii="黑体" w:hAnsi="黑体" w:eastAsia="黑体" w:cs="黑体"/>
          <w:spacing w:val="12"/>
          <w:sz w:val="31"/>
          <w:szCs w:val="31"/>
          <w14:textOutline w14:w="5791" w14:cap="sq" w14:cmpd="sng" w14:algn="ctr">
            <w14:solidFill>
              <w14:srgbClr w14:val="000000"/>
            </w14:solidFill>
            <w14:prstDash w14:val="solid"/>
            <w14:bevel/>
          </w14:textOutline>
        </w:rPr>
      </w:pPr>
    </w:p>
    <w:p w14:paraId="71675394">
      <w:pPr>
        <w:rPr>
          <w:rFonts w:hint="eastAsia" w:ascii="黑体" w:hAnsi="黑体" w:eastAsia="黑体" w:cs="黑体"/>
          <w:spacing w:val="12"/>
          <w:sz w:val="31"/>
          <w:szCs w:val="31"/>
          <w14:textOutline w14:w="5791" w14:cap="sq" w14:cmpd="sng" w14:algn="ctr">
            <w14:solidFill>
              <w14:srgbClr w14:val="000000"/>
            </w14:solidFill>
            <w14:prstDash w14:val="solid"/>
            <w14:bevel/>
          </w14:textOutline>
        </w:rPr>
      </w:pPr>
    </w:p>
    <w:p w14:paraId="23FE59D7">
      <w:pPr>
        <w:pStyle w:val="20"/>
        <w:ind w:firstLine="668"/>
        <w:rPr>
          <w:rFonts w:hint="eastAsia" w:ascii="黑体" w:hAnsi="黑体" w:eastAsia="黑体" w:cs="黑体"/>
          <w:spacing w:val="12"/>
          <w:sz w:val="31"/>
          <w:szCs w:val="31"/>
          <w14:textOutline w14:w="5791" w14:cap="sq" w14:cmpd="sng" w14:algn="ctr">
            <w14:solidFill>
              <w14:srgbClr w14:val="000000"/>
            </w14:solidFill>
            <w14:prstDash w14:val="solid"/>
            <w14:bevel/>
          </w14:textOutline>
        </w:rPr>
      </w:pPr>
    </w:p>
    <w:p w14:paraId="6FC9575B">
      <w:pPr>
        <w:rPr>
          <w:rFonts w:hint="eastAsia" w:ascii="黑体" w:hAnsi="黑体" w:eastAsia="黑体" w:cs="黑体"/>
          <w:spacing w:val="12"/>
          <w:sz w:val="31"/>
          <w:szCs w:val="31"/>
          <w14:textOutline w14:w="5791" w14:cap="sq" w14:cmpd="sng" w14:algn="ctr">
            <w14:solidFill>
              <w14:srgbClr w14:val="000000"/>
            </w14:solidFill>
            <w14:prstDash w14:val="solid"/>
            <w14:bevel/>
          </w14:textOutline>
        </w:rPr>
      </w:pPr>
    </w:p>
    <w:p w14:paraId="1A293E7D">
      <w:pPr>
        <w:pStyle w:val="20"/>
        <w:ind w:firstLine="668"/>
        <w:rPr>
          <w:rFonts w:hint="eastAsia" w:ascii="黑体" w:hAnsi="黑体" w:eastAsia="黑体" w:cs="黑体"/>
          <w:spacing w:val="12"/>
          <w:sz w:val="31"/>
          <w:szCs w:val="31"/>
          <w14:textOutline w14:w="5791" w14:cap="sq" w14:cmpd="sng" w14:algn="ctr">
            <w14:solidFill>
              <w14:srgbClr w14:val="000000"/>
            </w14:solidFill>
            <w14:prstDash w14:val="solid"/>
            <w14:bevel/>
          </w14:textOutline>
        </w:rPr>
      </w:pPr>
    </w:p>
    <w:p w14:paraId="3B4F01C6">
      <w:pPr>
        <w:rPr>
          <w:rFonts w:hint="eastAsia" w:ascii="黑体" w:hAnsi="黑体" w:eastAsia="黑体" w:cs="黑体"/>
          <w:spacing w:val="12"/>
          <w:sz w:val="31"/>
          <w:szCs w:val="31"/>
          <w14:textOutline w14:w="5791" w14:cap="sq" w14:cmpd="sng" w14:algn="ctr">
            <w14:solidFill>
              <w14:srgbClr w14:val="000000"/>
            </w14:solidFill>
            <w14:prstDash w14:val="solid"/>
            <w14:bevel/>
          </w14:textOutline>
        </w:rPr>
      </w:pPr>
    </w:p>
    <w:p w14:paraId="6103E3E4">
      <w:pPr>
        <w:pStyle w:val="20"/>
        <w:ind w:firstLine="668"/>
        <w:rPr>
          <w:rFonts w:hint="eastAsia" w:ascii="黑体" w:hAnsi="黑体" w:eastAsia="黑体" w:cs="黑体"/>
          <w:spacing w:val="12"/>
          <w:sz w:val="31"/>
          <w:szCs w:val="31"/>
          <w14:textOutline w14:w="5791" w14:cap="sq" w14:cmpd="sng" w14:algn="ctr">
            <w14:solidFill>
              <w14:srgbClr w14:val="000000"/>
            </w14:solidFill>
            <w14:prstDash w14:val="solid"/>
            <w14:bevel/>
          </w14:textOutline>
        </w:rPr>
      </w:pPr>
    </w:p>
    <w:p w14:paraId="6D4A8F4C">
      <w:pPr>
        <w:rPr>
          <w:rFonts w:hint="eastAsia" w:ascii="黑体" w:hAnsi="黑体" w:eastAsia="黑体" w:cs="黑体"/>
          <w:spacing w:val="12"/>
          <w:sz w:val="31"/>
          <w:szCs w:val="31"/>
          <w14:textOutline w14:w="5791" w14:cap="sq" w14:cmpd="sng" w14:algn="ctr">
            <w14:solidFill>
              <w14:srgbClr w14:val="000000"/>
            </w14:solidFill>
            <w14:prstDash w14:val="solid"/>
            <w14:bevel/>
          </w14:textOutline>
        </w:rPr>
      </w:pPr>
    </w:p>
    <w:p w14:paraId="60683EE8">
      <w:pPr>
        <w:pStyle w:val="20"/>
        <w:ind w:firstLine="668"/>
        <w:rPr>
          <w:rFonts w:hint="eastAsia" w:ascii="黑体" w:hAnsi="黑体" w:eastAsia="黑体" w:cs="黑体"/>
          <w:spacing w:val="12"/>
          <w:sz w:val="31"/>
          <w:szCs w:val="31"/>
          <w14:textOutline w14:w="5791" w14:cap="sq" w14:cmpd="sng" w14:algn="ctr">
            <w14:solidFill>
              <w14:srgbClr w14:val="000000"/>
            </w14:solidFill>
            <w14:prstDash w14:val="solid"/>
            <w14:bevel/>
          </w14:textOutline>
        </w:rPr>
      </w:pPr>
    </w:p>
    <w:p w14:paraId="1A42447E">
      <w:pPr>
        <w:rPr>
          <w:rFonts w:hint="eastAsia" w:ascii="黑体" w:hAnsi="黑体" w:eastAsia="黑体" w:cs="黑体"/>
          <w:spacing w:val="12"/>
          <w:sz w:val="31"/>
          <w:szCs w:val="31"/>
          <w14:textOutline w14:w="5791" w14:cap="sq" w14:cmpd="sng" w14:algn="ctr">
            <w14:solidFill>
              <w14:srgbClr w14:val="000000"/>
            </w14:solidFill>
            <w14:prstDash w14:val="solid"/>
            <w14:bevel/>
          </w14:textOutline>
        </w:rPr>
      </w:pPr>
    </w:p>
    <w:p w14:paraId="7B4A5310">
      <w:pPr>
        <w:spacing w:before="168" w:line="232" w:lineRule="auto"/>
        <w:jc w:val="center"/>
        <w:outlineLvl w:val="2"/>
        <w:rPr>
          <w:rFonts w:hint="eastAsia" w:ascii="宋体" w:hAnsi="宋体" w:cs="宋体"/>
          <w:b/>
          <w:bCs/>
          <w:sz w:val="28"/>
          <w:szCs w:val="28"/>
        </w:rPr>
      </w:pPr>
      <w:r>
        <w:rPr>
          <w:rFonts w:hint="eastAsia" w:ascii="宋体" w:hAnsi="宋体" w:cs="宋体"/>
          <w:b/>
          <w:bCs/>
          <w:spacing w:val="1"/>
          <w:sz w:val="28"/>
          <w:szCs w:val="28"/>
        </w:rPr>
        <w:t>九</w:t>
      </w:r>
      <w:r>
        <w:rPr>
          <w:rFonts w:ascii="宋体" w:hAnsi="宋体" w:cs="宋体"/>
          <w:b/>
          <w:bCs/>
          <w:spacing w:val="1"/>
          <w:sz w:val="28"/>
          <w:szCs w:val="28"/>
        </w:rPr>
        <w:t>、</w:t>
      </w:r>
      <w:r>
        <w:rPr>
          <w:rFonts w:hint="eastAsia" w:ascii="宋体" w:hAnsi="宋体" w:cs="宋体"/>
          <w:b/>
          <w:bCs/>
          <w:spacing w:val="1"/>
          <w:sz w:val="28"/>
          <w:szCs w:val="28"/>
          <w:lang w:val="zh-CN"/>
        </w:rPr>
        <w:t>参加政府采购活动前三年内，在经营活动中没有重大违法记录</w:t>
      </w:r>
    </w:p>
    <w:p w14:paraId="6D617CFA">
      <w:pPr>
        <w:rPr>
          <w:rFonts w:hint="eastAsia" w:ascii="宋体" w:hAnsi="宋体" w:cs="宋体"/>
          <w:sz w:val="24"/>
          <w:szCs w:val="24"/>
        </w:rPr>
      </w:pPr>
    </w:p>
    <w:p w14:paraId="50047FE0">
      <w:pPr>
        <w:rPr>
          <w:rFonts w:hint="eastAsia" w:ascii="宋体" w:hAnsi="宋体" w:cs="宋体"/>
          <w:sz w:val="24"/>
          <w:szCs w:val="24"/>
        </w:rPr>
      </w:pPr>
      <w:r>
        <w:rPr>
          <w:rFonts w:hint="eastAsia" w:ascii="宋体" w:hAnsi="宋体" w:cs="宋体"/>
          <w:sz w:val="24"/>
          <w:szCs w:val="24"/>
        </w:rPr>
        <w:t>说明：</w:t>
      </w:r>
    </w:p>
    <w:p w14:paraId="57AA945B">
      <w:pPr>
        <w:spacing w:before="101" w:line="227" w:lineRule="auto"/>
        <w:jc w:val="left"/>
        <w:outlineLvl w:val="1"/>
        <w:rPr>
          <w:rFonts w:hint="eastAsia" w:ascii="黑体" w:hAnsi="黑体" w:eastAsia="黑体" w:cs="黑体"/>
          <w:spacing w:val="12"/>
          <w:sz w:val="31"/>
          <w:szCs w:val="31"/>
        </w:rPr>
      </w:pPr>
      <w:r>
        <w:rPr>
          <w:rFonts w:hint="eastAsia" w:ascii="宋体" w:hAnsi="宋体" w:cs="宋体"/>
          <w:bCs/>
          <w:sz w:val="24"/>
          <w:szCs w:val="24"/>
          <w:lang w:val="zh-CN"/>
        </w:rPr>
        <w:t>提供企业近三年无重大违法记录声明函</w:t>
      </w:r>
      <w:r>
        <w:rPr>
          <w:rFonts w:hint="eastAsia" w:ascii="宋体" w:hAnsi="宋体" w:cs="宋体"/>
          <w:b/>
          <w:sz w:val="24"/>
          <w:szCs w:val="24"/>
          <w:lang w:val="zh-CN"/>
        </w:rPr>
        <w:t>（</w:t>
      </w:r>
      <w:r>
        <w:rPr>
          <w:rFonts w:hint="eastAsia" w:ascii="宋体" w:hAnsi="宋体" w:cs="宋体"/>
          <w:b/>
          <w:sz w:val="24"/>
          <w:szCs w:val="24"/>
        </w:rPr>
        <w:t>格式自拟，</w:t>
      </w:r>
      <w:r>
        <w:rPr>
          <w:rFonts w:hint="eastAsia" w:ascii="宋体" w:hAnsi="宋体" w:cs="宋体"/>
          <w:b/>
          <w:sz w:val="24"/>
          <w:szCs w:val="24"/>
          <w:lang w:val="zh-CN"/>
        </w:rPr>
        <w:t>标书内提供</w:t>
      </w:r>
      <w:r>
        <w:rPr>
          <w:rFonts w:hint="eastAsia" w:ascii="宋体" w:hAnsi="宋体" w:cs="宋体"/>
          <w:b/>
          <w:sz w:val="24"/>
          <w:szCs w:val="24"/>
        </w:rPr>
        <w:t>声明函</w:t>
      </w:r>
      <w:r>
        <w:rPr>
          <w:rFonts w:hint="eastAsia" w:ascii="宋体" w:hAnsi="宋体" w:cs="宋体"/>
          <w:b/>
          <w:sz w:val="24"/>
          <w:szCs w:val="24"/>
          <w:lang w:val="zh-CN"/>
        </w:rPr>
        <w:t>加盖公章）</w:t>
      </w:r>
    </w:p>
    <w:p w14:paraId="460A5B0C">
      <w:pPr>
        <w:pStyle w:val="20"/>
        <w:ind w:firstLine="640"/>
      </w:pPr>
    </w:p>
    <w:p w14:paraId="1653BC18"/>
    <w:p w14:paraId="2563AB4E">
      <w:pPr>
        <w:pStyle w:val="20"/>
        <w:ind w:firstLine="640"/>
      </w:pPr>
    </w:p>
    <w:p w14:paraId="7BAF86DB"/>
    <w:p w14:paraId="17D57041">
      <w:pPr>
        <w:pStyle w:val="20"/>
        <w:ind w:firstLine="640"/>
      </w:pPr>
    </w:p>
    <w:p w14:paraId="72402848"/>
    <w:p w14:paraId="2256349D">
      <w:pPr>
        <w:pStyle w:val="20"/>
        <w:ind w:firstLine="640"/>
      </w:pPr>
    </w:p>
    <w:p w14:paraId="602D3896"/>
    <w:p w14:paraId="41E0AC42">
      <w:pPr>
        <w:pStyle w:val="20"/>
        <w:ind w:firstLine="640"/>
      </w:pPr>
    </w:p>
    <w:p w14:paraId="633D2AAE"/>
    <w:p w14:paraId="3C9B32B9">
      <w:pPr>
        <w:pStyle w:val="20"/>
        <w:ind w:firstLine="640"/>
      </w:pPr>
    </w:p>
    <w:p w14:paraId="28F5B10F"/>
    <w:p w14:paraId="74965BB8">
      <w:pPr>
        <w:pStyle w:val="20"/>
        <w:ind w:firstLine="640"/>
      </w:pPr>
    </w:p>
    <w:p w14:paraId="4749A8CA"/>
    <w:p w14:paraId="6FDD2C77">
      <w:pPr>
        <w:pStyle w:val="20"/>
        <w:ind w:firstLine="640"/>
      </w:pPr>
    </w:p>
    <w:p w14:paraId="12FFBE54"/>
    <w:p w14:paraId="783561F9">
      <w:pPr>
        <w:pStyle w:val="20"/>
        <w:ind w:firstLine="640"/>
      </w:pPr>
    </w:p>
    <w:p w14:paraId="32FC75E9"/>
    <w:p w14:paraId="1A442737">
      <w:pPr>
        <w:pStyle w:val="20"/>
        <w:ind w:firstLine="640"/>
      </w:pPr>
    </w:p>
    <w:p w14:paraId="43A12BF7">
      <w:pPr>
        <w:pStyle w:val="20"/>
        <w:ind w:firstLine="640"/>
      </w:pPr>
    </w:p>
    <w:p w14:paraId="19208B68">
      <w:pPr>
        <w:pStyle w:val="20"/>
        <w:ind w:firstLine="640"/>
      </w:pPr>
    </w:p>
    <w:p w14:paraId="1090E51C">
      <w:pPr>
        <w:numPr>
          <w:ilvl w:val="0"/>
          <w:numId w:val="7"/>
        </w:numPr>
        <w:autoSpaceDE w:val="0"/>
        <w:autoSpaceDN w:val="0"/>
        <w:adjustRightInd w:val="0"/>
        <w:spacing w:line="360" w:lineRule="auto"/>
        <w:jc w:val="center"/>
        <w:rPr>
          <w:rFonts w:hint="eastAsia" w:ascii="宋体" w:hAnsi="宋体" w:cs="宋体"/>
          <w:b/>
          <w:bCs/>
          <w:color w:val="000000"/>
          <w:sz w:val="28"/>
          <w:szCs w:val="28"/>
        </w:rPr>
      </w:pPr>
      <w:r>
        <w:rPr>
          <w:rFonts w:hint="eastAsia" w:ascii="宋体" w:hAnsi="宋体" w:cs="宋体"/>
          <w:b/>
          <w:bCs/>
          <w:color w:val="000000"/>
          <w:sz w:val="28"/>
          <w:szCs w:val="28"/>
        </w:rPr>
        <w:t>落实政府采购政策需满足的资格要求</w:t>
      </w:r>
    </w:p>
    <w:p w14:paraId="21B20BDC">
      <w:pPr>
        <w:autoSpaceDE w:val="0"/>
        <w:autoSpaceDN w:val="0"/>
        <w:adjustRightInd w:val="0"/>
        <w:rPr>
          <w:rFonts w:hint="eastAsia" w:ascii="宋体" w:hAnsi="宋体" w:cs="宋体"/>
          <w:color w:val="000000"/>
          <w:sz w:val="24"/>
          <w:szCs w:val="24"/>
        </w:rPr>
      </w:pPr>
      <w:r>
        <w:rPr>
          <w:rFonts w:hint="eastAsia" w:ascii="宋体" w:hAnsi="宋体" w:cs="宋体"/>
          <w:color w:val="000000"/>
          <w:sz w:val="24"/>
          <w:szCs w:val="24"/>
        </w:rPr>
        <w:t>如本项目（包）专门面向中小企业采购，投标文件中须提供《中小企业声明函》或《残疾人福利性单位声明函》或由省级以上监狱管理局、戒毒管理局（含新疆生产建设兵团）出具的属于监狱企业的证明文件。</w:t>
      </w:r>
    </w:p>
    <w:p w14:paraId="467DC299">
      <w:pPr>
        <w:autoSpaceDE w:val="0"/>
        <w:autoSpaceDN w:val="0"/>
        <w:adjustRightInd w:val="0"/>
        <w:spacing w:line="360" w:lineRule="auto"/>
        <w:jc w:val="center"/>
        <w:rPr>
          <w:rFonts w:hint="eastAsia" w:ascii="宋体" w:hAnsi="宋体" w:cs="宋体"/>
          <w:b/>
          <w:bCs/>
          <w:color w:val="000000"/>
          <w:sz w:val="28"/>
          <w:szCs w:val="28"/>
          <w:lang w:val="zh-CN"/>
        </w:rPr>
      </w:pPr>
      <w:r>
        <w:rPr>
          <w:rFonts w:hint="eastAsia" w:ascii="宋体" w:hAnsi="宋体" w:cs="宋体"/>
          <w:b/>
          <w:bCs/>
          <w:color w:val="000000"/>
          <w:sz w:val="28"/>
          <w:szCs w:val="28"/>
          <w:lang w:val="zh-CN"/>
        </w:rPr>
        <w:t>中小企业声明函（货物）</w:t>
      </w:r>
    </w:p>
    <w:p w14:paraId="619F52F4">
      <w:pPr>
        <w:pStyle w:val="64"/>
        <w:spacing w:line="240" w:lineRule="auto"/>
        <w:ind w:right="157" w:firstLine="642"/>
        <w:rPr>
          <w:rFonts w:hint="eastAsia" w:ascii="宋体" w:hAnsi="宋体" w:eastAsia="宋体" w:cs="宋体"/>
          <w:szCs w:val="24"/>
        </w:rPr>
      </w:pPr>
      <w:r>
        <w:rPr>
          <w:rFonts w:hint="eastAsia" w:ascii="宋体" w:hAnsi="宋体" w:eastAsia="宋体" w:cs="宋体"/>
          <w:szCs w:val="24"/>
        </w:rPr>
        <w:t>本公司（联合体）郑重声明，根据《政府采购促进中小企业发展管理办法》（财库 ﹝2020﹞46号）的规定，本公司（联合体）参加</w:t>
      </w:r>
      <w:r>
        <w:rPr>
          <w:rFonts w:hint="eastAsia" w:ascii="宋体" w:hAnsi="宋体" w:eastAsia="宋体" w:cs="宋体"/>
          <w:szCs w:val="24"/>
          <w:u w:val="single"/>
        </w:rPr>
        <w:t>（单位名称）</w:t>
      </w:r>
      <w:r>
        <w:rPr>
          <w:rFonts w:hint="eastAsia" w:ascii="宋体" w:hAnsi="宋体" w:eastAsia="宋体" w:cs="宋体"/>
          <w:szCs w:val="24"/>
        </w:rPr>
        <w:t>的</w:t>
      </w:r>
      <w:r>
        <w:rPr>
          <w:rFonts w:hint="eastAsia" w:ascii="宋体" w:hAnsi="宋体" w:eastAsia="宋体" w:cs="宋体"/>
          <w:szCs w:val="24"/>
          <w:u w:val="single"/>
        </w:rPr>
        <w:t>（项目名称）</w:t>
      </w:r>
      <w:r>
        <w:rPr>
          <w:rFonts w:hint="eastAsia" w:ascii="宋体" w:hAnsi="宋体" w:eastAsia="宋体" w:cs="宋体"/>
          <w:szCs w:val="24"/>
        </w:rPr>
        <w:t xml:space="preserve">采购活动，提供的货物全部由符合政策要求的中小企业制造。相关企业（含联合体中的中小企业、签订分包意向协议的中小企业）的具体情况如下： </w:t>
      </w:r>
    </w:p>
    <w:p w14:paraId="383E3FA5">
      <w:pPr>
        <w:widowControl/>
        <w:ind w:firstLine="480" w:firstLineChars="200"/>
        <w:jc w:val="left"/>
        <w:rPr>
          <w:rFonts w:hint="eastAsia" w:ascii="宋体" w:hAnsi="宋体" w:cs="宋体"/>
          <w:color w:val="000000"/>
          <w:sz w:val="24"/>
          <w:szCs w:val="24"/>
        </w:rPr>
      </w:pPr>
      <w:r>
        <w:rPr>
          <w:rFonts w:hint="eastAsia" w:ascii="宋体" w:hAnsi="宋体" w:cs="宋体"/>
          <w:color w:val="000000"/>
          <w:sz w:val="24"/>
          <w:szCs w:val="24"/>
        </w:rPr>
        <w:t>1.</w:t>
      </w:r>
      <w:r>
        <w:rPr>
          <w:rFonts w:hint="eastAsia" w:ascii="宋体" w:hAnsi="宋体" w:cs="宋体"/>
          <w:color w:val="000000"/>
          <w:sz w:val="24"/>
          <w:szCs w:val="24"/>
          <w:u w:val="single"/>
        </w:rPr>
        <w:t>（标的名称）</w:t>
      </w:r>
      <w:r>
        <w:rPr>
          <w:rFonts w:hint="eastAsia" w:ascii="宋体" w:hAnsi="宋体" w:cs="宋体"/>
          <w:color w:val="000000"/>
          <w:sz w:val="24"/>
          <w:szCs w:val="24"/>
        </w:rPr>
        <w:t>，属于</w:t>
      </w:r>
      <w:r>
        <w:rPr>
          <w:rFonts w:hint="eastAsia" w:ascii="宋体" w:hAnsi="宋体" w:cs="宋体"/>
          <w:color w:val="000000"/>
          <w:sz w:val="24"/>
          <w:szCs w:val="24"/>
          <w:u w:val="single"/>
        </w:rPr>
        <w:t>（采购文件中明确的所属行业）行业</w:t>
      </w:r>
      <w:r>
        <w:rPr>
          <w:rFonts w:hint="eastAsia" w:ascii="宋体" w:hAnsi="宋体" w:cs="宋体"/>
          <w:color w:val="000000"/>
          <w:sz w:val="24"/>
          <w:szCs w:val="24"/>
        </w:rPr>
        <w:t>；制造商为</w:t>
      </w:r>
      <w:r>
        <w:rPr>
          <w:rFonts w:hint="eastAsia" w:ascii="宋体" w:hAnsi="宋体" w:cs="宋体"/>
          <w:color w:val="000000"/>
          <w:sz w:val="24"/>
          <w:szCs w:val="24"/>
          <w:u w:val="single"/>
        </w:rPr>
        <w:t>（企业名称）</w:t>
      </w:r>
      <w:r>
        <w:rPr>
          <w:rFonts w:hint="eastAsia" w:ascii="宋体" w:hAnsi="宋体" w:cs="宋体"/>
          <w:color w:val="000000"/>
          <w:sz w:val="24"/>
          <w:szCs w:val="24"/>
        </w:rPr>
        <w:t>，从业人员</w:t>
      </w:r>
      <w:r>
        <w:rPr>
          <w:rFonts w:hint="eastAsia" w:ascii="宋体" w:hAnsi="宋体" w:cs="宋体"/>
          <w:color w:val="000000"/>
          <w:sz w:val="24"/>
          <w:szCs w:val="24"/>
          <w:u w:val="single"/>
        </w:rPr>
        <w:t xml:space="preserve">   </w:t>
      </w:r>
      <w:r>
        <w:rPr>
          <w:rFonts w:hint="eastAsia" w:ascii="宋体" w:hAnsi="宋体" w:cs="宋体"/>
          <w:color w:val="000000"/>
          <w:sz w:val="24"/>
          <w:szCs w:val="24"/>
        </w:rPr>
        <w:t>人，营业收入为</w:t>
      </w:r>
      <w:r>
        <w:rPr>
          <w:rFonts w:hint="eastAsia" w:ascii="宋体" w:hAnsi="宋体" w:cs="宋体"/>
          <w:color w:val="000000"/>
          <w:sz w:val="24"/>
          <w:szCs w:val="24"/>
          <w:u w:val="single"/>
        </w:rPr>
        <w:t xml:space="preserve">  </w:t>
      </w:r>
      <w:r>
        <w:rPr>
          <w:rFonts w:hint="eastAsia" w:ascii="宋体" w:hAnsi="宋体" w:cs="宋体"/>
          <w:color w:val="000000"/>
          <w:sz w:val="24"/>
          <w:szCs w:val="24"/>
        </w:rPr>
        <w:t>万元，资产总额为</w:t>
      </w:r>
      <w:r>
        <w:rPr>
          <w:rFonts w:hint="eastAsia" w:ascii="宋体" w:hAnsi="宋体" w:cs="宋体"/>
          <w:color w:val="000000"/>
          <w:sz w:val="24"/>
          <w:szCs w:val="24"/>
          <w:u w:val="single"/>
        </w:rPr>
        <w:t xml:space="preserve">    </w:t>
      </w:r>
      <w:r>
        <w:rPr>
          <w:rFonts w:hint="eastAsia" w:ascii="宋体" w:hAnsi="宋体" w:cs="宋体"/>
          <w:color w:val="000000"/>
          <w:sz w:val="24"/>
          <w:szCs w:val="24"/>
        </w:rPr>
        <w:t>万元</w:t>
      </w:r>
      <w:r>
        <w:rPr>
          <w:rFonts w:hint="eastAsia" w:ascii="宋体" w:hAnsi="宋体" w:cs="宋体"/>
          <w:color w:val="000000"/>
          <w:position w:val="16"/>
          <w:sz w:val="24"/>
          <w:szCs w:val="24"/>
          <w:vertAlign w:val="superscript"/>
        </w:rPr>
        <w:t>1</w:t>
      </w:r>
      <w:r>
        <w:rPr>
          <w:rFonts w:hint="eastAsia" w:ascii="宋体" w:hAnsi="宋体" w:cs="宋体"/>
          <w:color w:val="000000"/>
          <w:sz w:val="24"/>
          <w:szCs w:val="24"/>
        </w:rPr>
        <w:t>，属于</w:t>
      </w:r>
      <w:r>
        <w:rPr>
          <w:rFonts w:hint="eastAsia" w:ascii="宋体" w:hAnsi="宋体" w:cs="宋体"/>
          <w:color w:val="000000"/>
          <w:sz w:val="24"/>
          <w:szCs w:val="24"/>
          <w:u w:val="single"/>
        </w:rPr>
        <w:t>（中型企业、小型企业、微型企业）</w:t>
      </w:r>
      <w:r>
        <w:rPr>
          <w:rFonts w:hint="eastAsia" w:ascii="宋体" w:hAnsi="宋体" w:cs="宋体"/>
          <w:color w:val="000000"/>
          <w:sz w:val="24"/>
          <w:szCs w:val="24"/>
        </w:rPr>
        <w:t xml:space="preserve">； </w:t>
      </w:r>
    </w:p>
    <w:p w14:paraId="471C7116">
      <w:pPr>
        <w:widowControl/>
        <w:ind w:firstLine="480" w:firstLineChars="200"/>
        <w:jc w:val="left"/>
        <w:rPr>
          <w:rFonts w:hint="eastAsia" w:ascii="宋体" w:hAnsi="宋体" w:cs="宋体"/>
          <w:color w:val="000000"/>
          <w:sz w:val="24"/>
          <w:szCs w:val="24"/>
        </w:rPr>
      </w:pPr>
      <w:r>
        <w:rPr>
          <w:rFonts w:hint="eastAsia" w:ascii="宋体" w:hAnsi="宋体" w:cs="宋体"/>
          <w:color w:val="000000"/>
          <w:sz w:val="24"/>
          <w:szCs w:val="24"/>
        </w:rPr>
        <w:t>2.</w:t>
      </w:r>
      <w:r>
        <w:rPr>
          <w:rFonts w:hint="eastAsia" w:ascii="宋体" w:hAnsi="宋体" w:cs="宋体"/>
          <w:color w:val="000000"/>
          <w:sz w:val="24"/>
          <w:szCs w:val="24"/>
          <w:u w:val="single"/>
        </w:rPr>
        <w:t>（标的名称）</w:t>
      </w:r>
      <w:r>
        <w:rPr>
          <w:rFonts w:hint="eastAsia" w:ascii="宋体" w:hAnsi="宋体" w:cs="宋体"/>
          <w:color w:val="000000"/>
          <w:sz w:val="24"/>
          <w:szCs w:val="24"/>
        </w:rPr>
        <w:t>，属于</w:t>
      </w:r>
      <w:r>
        <w:rPr>
          <w:rFonts w:hint="eastAsia" w:ascii="宋体" w:hAnsi="宋体" w:cs="宋体"/>
          <w:color w:val="000000"/>
          <w:sz w:val="24"/>
          <w:szCs w:val="24"/>
          <w:u w:val="single"/>
        </w:rPr>
        <w:t>（采购文件中明确的所属行业）行业</w:t>
      </w:r>
      <w:r>
        <w:rPr>
          <w:rFonts w:hint="eastAsia" w:ascii="宋体" w:hAnsi="宋体" w:cs="宋体"/>
          <w:color w:val="000000"/>
          <w:sz w:val="24"/>
          <w:szCs w:val="24"/>
        </w:rPr>
        <w:t>；制造商为</w:t>
      </w:r>
      <w:r>
        <w:rPr>
          <w:rFonts w:hint="eastAsia" w:ascii="宋体" w:hAnsi="宋体" w:cs="宋体"/>
          <w:color w:val="000000"/>
          <w:sz w:val="24"/>
          <w:szCs w:val="24"/>
          <w:u w:val="single"/>
        </w:rPr>
        <w:t>（企业名称）</w:t>
      </w:r>
      <w:r>
        <w:rPr>
          <w:rFonts w:hint="eastAsia" w:ascii="宋体" w:hAnsi="宋体" w:cs="宋体"/>
          <w:color w:val="000000"/>
          <w:sz w:val="24"/>
          <w:szCs w:val="24"/>
        </w:rPr>
        <w:t>，从业人员</w:t>
      </w:r>
      <w:r>
        <w:rPr>
          <w:rFonts w:hint="eastAsia" w:ascii="宋体" w:hAnsi="宋体" w:cs="宋体"/>
          <w:color w:val="000000"/>
          <w:sz w:val="24"/>
          <w:szCs w:val="24"/>
          <w:u w:val="single"/>
        </w:rPr>
        <w:t xml:space="preserve">   </w:t>
      </w:r>
      <w:r>
        <w:rPr>
          <w:rFonts w:hint="eastAsia" w:ascii="宋体" w:hAnsi="宋体" w:cs="宋体"/>
          <w:color w:val="000000"/>
          <w:sz w:val="24"/>
          <w:szCs w:val="24"/>
        </w:rPr>
        <w:t>人，营业收入为</w:t>
      </w:r>
      <w:r>
        <w:rPr>
          <w:rFonts w:hint="eastAsia" w:ascii="宋体" w:hAnsi="宋体" w:cs="宋体"/>
          <w:color w:val="000000"/>
          <w:sz w:val="24"/>
          <w:szCs w:val="24"/>
          <w:u w:val="single"/>
        </w:rPr>
        <w:t xml:space="preserve">   </w:t>
      </w:r>
      <w:r>
        <w:rPr>
          <w:rFonts w:hint="eastAsia" w:ascii="宋体" w:hAnsi="宋体" w:cs="宋体"/>
          <w:color w:val="000000"/>
          <w:sz w:val="24"/>
          <w:szCs w:val="24"/>
        </w:rPr>
        <w:t>万元，资产总额为</w:t>
      </w:r>
      <w:r>
        <w:rPr>
          <w:rFonts w:hint="eastAsia" w:ascii="宋体" w:hAnsi="宋体" w:cs="宋体"/>
          <w:color w:val="000000"/>
          <w:sz w:val="24"/>
          <w:szCs w:val="24"/>
          <w:u w:val="single"/>
        </w:rPr>
        <w:t xml:space="preserve">   </w:t>
      </w:r>
      <w:r>
        <w:rPr>
          <w:rFonts w:hint="eastAsia" w:ascii="宋体" w:hAnsi="宋体" w:cs="宋体"/>
          <w:color w:val="000000"/>
          <w:sz w:val="24"/>
          <w:szCs w:val="24"/>
        </w:rPr>
        <w:t>万元，属于</w:t>
      </w:r>
      <w:r>
        <w:rPr>
          <w:rFonts w:hint="eastAsia" w:ascii="宋体" w:hAnsi="宋体" w:cs="宋体"/>
          <w:color w:val="000000"/>
          <w:sz w:val="24"/>
          <w:szCs w:val="24"/>
          <w:u w:val="single"/>
        </w:rPr>
        <w:t>（中型企业、小型企业、微型企业）</w:t>
      </w:r>
      <w:r>
        <w:rPr>
          <w:rFonts w:hint="eastAsia" w:ascii="宋体" w:hAnsi="宋体" w:cs="宋体"/>
          <w:color w:val="000000"/>
          <w:sz w:val="24"/>
          <w:szCs w:val="24"/>
        </w:rPr>
        <w:t xml:space="preserve">； </w:t>
      </w:r>
    </w:p>
    <w:p w14:paraId="292B3229">
      <w:pPr>
        <w:pStyle w:val="65"/>
        <w:spacing w:line="240" w:lineRule="auto"/>
        <w:ind w:left="642"/>
        <w:rPr>
          <w:rFonts w:hint="eastAsia" w:ascii="宋体" w:hAnsi="宋体" w:eastAsia="宋体" w:cs="宋体"/>
          <w:szCs w:val="24"/>
        </w:rPr>
      </w:pPr>
      <w:r>
        <w:rPr>
          <w:rFonts w:hint="eastAsia" w:ascii="宋体" w:hAnsi="宋体" w:eastAsia="宋体" w:cs="宋体"/>
          <w:szCs w:val="24"/>
        </w:rPr>
        <w:t>……</w:t>
      </w:r>
    </w:p>
    <w:p w14:paraId="79300836">
      <w:pPr>
        <w:pStyle w:val="64"/>
        <w:spacing w:line="240" w:lineRule="auto"/>
        <w:ind w:right="157" w:firstLine="642"/>
        <w:rPr>
          <w:rFonts w:hint="eastAsia" w:ascii="宋体" w:hAnsi="宋体" w:eastAsia="宋体" w:cs="宋体"/>
          <w:szCs w:val="24"/>
        </w:rPr>
      </w:pPr>
      <w:r>
        <w:rPr>
          <w:rFonts w:hint="eastAsia" w:ascii="宋体" w:hAnsi="宋体" w:eastAsia="宋体" w:cs="宋体"/>
          <w:szCs w:val="24"/>
        </w:rPr>
        <w:t>以上企业，不属于大企业的分支机构，不存在控股股东为大企业的情形，也不存在与大企业的负责人为同一人的情形。</w:t>
      </w:r>
    </w:p>
    <w:p w14:paraId="42B7FE19">
      <w:pPr>
        <w:pStyle w:val="65"/>
        <w:spacing w:line="240" w:lineRule="auto"/>
        <w:ind w:left="642"/>
        <w:rPr>
          <w:rFonts w:hint="eastAsia" w:ascii="宋体" w:hAnsi="宋体" w:eastAsia="宋体" w:cs="宋体"/>
          <w:szCs w:val="24"/>
        </w:rPr>
      </w:pPr>
      <w:r>
        <w:rPr>
          <w:rFonts w:hint="eastAsia" w:ascii="宋体" w:hAnsi="宋体" w:eastAsia="宋体" w:cs="宋体"/>
          <w:szCs w:val="24"/>
        </w:rPr>
        <w:t>本企业对上述声明内容的真实性负责。如有虚假，将依法承担相应责任。</w:t>
      </w:r>
    </w:p>
    <w:p w14:paraId="279BCFF0">
      <w:pPr>
        <w:pStyle w:val="66"/>
        <w:spacing w:line="240" w:lineRule="auto"/>
        <w:ind w:left="4416" w:leftChars="1960" w:hanging="300" w:hangingChars="125"/>
        <w:rPr>
          <w:rFonts w:hint="eastAsia" w:ascii="宋体" w:hAnsi="宋体" w:eastAsia="宋体" w:cs="宋体"/>
          <w:szCs w:val="24"/>
        </w:rPr>
      </w:pPr>
      <w:r>
        <w:rPr>
          <w:rFonts w:hint="eastAsia" w:ascii="宋体" w:hAnsi="宋体" w:eastAsia="宋体" w:cs="宋体"/>
          <w:szCs w:val="24"/>
        </w:rPr>
        <w:t>企业名称（盖章）：</w:t>
      </w:r>
    </w:p>
    <w:p w14:paraId="1F84EF46">
      <w:pPr>
        <w:pStyle w:val="66"/>
        <w:spacing w:line="240" w:lineRule="auto"/>
        <w:ind w:left="4416" w:leftChars="1960" w:hanging="300" w:hangingChars="125"/>
        <w:rPr>
          <w:rFonts w:hint="eastAsia"/>
          <w:szCs w:val="24"/>
        </w:rPr>
      </w:pPr>
      <w:r>
        <w:rPr>
          <w:rFonts w:hint="eastAsia" w:ascii="宋体" w:hAnsi="宋体" w:eastAsia="宋体" w:cs="宋体"/>
          <w:szCs w:val="24"/>
        </w:rPr>
        <w:t>日期：</w:t>
      </w:r>
      <w:r>
        <w:rPr>
          <w:rFonts w:hint="eastAsia"/>
          <w:szCs w:val="24"/>
        </w:rPr>
        <w:t xml:space="preserve"> </w:t>
      </w:r>
    </w:p>
    <w:p w14:paraId="49DC160A">
      <w:pPr>
        <w:pStyle w:val="66"/>
        <w:spacing w:line="240" w:lineRule="auto"/>
        <w:rPr>
          <w:rFonts w:hint="eastAsia"/>
          <w:szCs w:val="24"/>
          <w:vertAlign w:val="superscript"/>
        </w:rPr>
      </w:pPr>
      <w:r>
        <w:rPr>
          <w:rFonts w:hint="eastAsia"/>
          <w:szCs w:val="24"/>
          <w:vertAlign w:val="superscript"/>
        </w:rPr>
        <w:t xml:space="preserve"> </w:t>
      </w:r>
    </w:p>
    <w:p w14:paraId="1B464DA9">
      <w:pPr>
        <w:pStyle w:val="63"/>
        <w:rPr>
          <w:szCs w:val="24"/>
          <w:vertAlign w:val="superscript"/>
        </w:rPr>
      </w:pPr>
    </w:p>
    <w:p w14:paraId="731DFF91">
      <w:pPr>
        <w:pStyle w:val="66"/>
        <w:numPr>
          <w:ilvl w:val="0"/>
          <w:numId w:val="8"/>
        </w:numPr>
        <w:pBdr>
          <w:top w:val="single" w:color="auto" w:sz="4" w:space="1"/>
          <w:left w:val="none" w:color="auto" w:sz="0" w:space="4"/>
          <w:bottom w:val="none" w:color="auto" w:sz="0" w:space="1"/>
          <w:right w:val="none" w:color="auto" w:sz="0" w:space="4"/>
        </w:pBdr>
        <w:spacing w:line="240" w:lineRule="auto"/>
        <w:rPr>
          <w:rFonts w:hint="eastAsia" w:ascii="宋体" w:hAnsi="宋体" w:eastAsia="宋体" w:cs="宋体"/>
          <w:b/>
          <w:bCs/>
          <w:szCs w:val="24"/>
        </w:rPr>
      </w:pPr>
      <w:r>
        <w:rPr>
          <w:rFonts w:hint="eastAsia" w:ascii="宋体" w:hAnsi="宋体" w:eastAsia="宋体" w:cs="宋体"/>
          <w:b/>
          <w:bCs/>
          <w:szCs w:val="24"/>
        </w:rPr>
        <w:t>从业人员、营业收入、资产总额填报上一年度数据，无上一年度数据的新成立企业可不填报。</w:t>
      </w:r>
    </w:p>
    <w:p w14:paraId="60E26033">
      <w:pPr>
        <w:pStyle w:val="63"/>
        <w:rPr>
          <w:rFonts w:ascii="宋体" w:hAnsi="宋体" w:eastAsia="宋体" w:cs="宋体"/>
          <w:b/>
          <w:bCs/>
          <w:szCs w:val="24"/>
        </w:rPr>
      </w:pPr>
      <w:r>
        <w:rPr>
          <w:rFonts w:ascii="宋体" w:hAnsi="宋体" w:eastAsia="宋体" w:cs="宋体"/>
          <w:b/>
          <w:bCs/>
          <w:szCs w:val="24"/>
        </w:rPr>
        <w:t>2.</w:t>
      </w:r>
      <w:r>
        <w:rPr>
          <w:rFonts w:hint="eastAsia" w:ascii="宋体" w:hAnsi="宋体" w:eastAsia="宋体" w:cs="宋体"/>
          <w:b/>
          <w:bCs/>
          <w:szCs w:val="24"/>
          <w:lang w:val="en-US" w:eastAsia="zh-CN"/>
        </w:rPr>
        <w:t>本项目专门面向中小企业采购，供应商应按采购标的逐项填写</w:t>
      </w:r>
    </w:p>
    <w:p w14:paraId="10169F88">
      <w:pPr>
        <w:jc w:val="center"/>
        <w:rPr>
          <w:rFonts w:hint="eastAsia" w:ascii="宋体" w:hAnsi="宋体" w:cs="宋体"/>
          <w:b/>
          <w:bCs/>
          <w:color w:val="000000"/>
          <w:sz w:val="28"/>
          <w:szCs w:val="28"/>
          <w:lang w:val="zh-CN"/>
        </w:rPr>
      </w:pPr>
    </w:p>
    <w:p w14:paraId="67916E8C">
      <w:pPr>
        <w:jc w:val="center"/>
        <w:rPr>
          <w:rFonts w:hint="eastAsia" w:ascii="宋体" w:hAnsi="宋体" w:cs="宋体"/>
          <w:b/>
          <w:bCs/>
          <w:color w:val="000000"/>
          <w:sz w:val="28"/>
          <w:szCs w:val="28"/>
          <w:lang w:val="zh-CN"/>
        </w:rPr>
      </w:pPr>
      <w:r>
        <w:rPr>
          <w:rFonts w:hint="eastAsia" w:ascii="宋体" w:hAnsi="宋体" w:cs="宋体"/>
          <w:b/>
          <w:bCs/>
          <w:color w:val="000000"/>
          <w:sz w:val="28"/>
          <w:szCs w:val="28"/>
          <w:lang w:val="zh-CN"/>
        </w:rPr>
        <w:t>监狱企业</w:t>
      </w:r>
    </w:p>
    <w:p w14:paraId="514AF1E3">
      <w:pPr>
        <w:rPr>
          <w:rFonts w:hint="eastAsia" w:ascii="宋体" w:hAnsi="宋体" w:cs="宋体"/>
          <w:color w:val="000000"/>
          <w:szCs w:val="21"/>
        </w:rPr>
      </w:pPr>
      <w:r>
        <w:rPr>
          <w:rFonts w:hint="eastAsia" w:ascii="宋体" w:hAnsi="宋体" w:cs="宋体"/>
          <w:color w:val="000000"/>
          <w:szCs w:val="21"/>
        </w:rPr>
        <w:t xml:space="preserve">   </w:t>
      </w:r>
    </w:p>
    <w:p w14:paraId="432E6310">
      <w:pPr>
        <w:spacing w:line="360" w:lineRule="auto"/>
        <w:ind w:firstLine="480" w:firstLineChars="200"/>
        <w:jc w:val="left"/>
        <w:rPr>
          <w:rFonts w:hint="eastAsia" w:ascii="宋体" w:hAnsi="宋体" w:cs="宋体"/>
          <w:color w:val="000000"/>
          <w:sz w:val="24"/>
          <w:szCs w:val="24"/>
        </w:rPr>
      </w:pPr>
      <w:r>
        <w:rPr>
          <w:rFonts w:hint="eastAsia" w:ascii="宋体" w:hAnsi="宋体" w:cs="宋体"/>
          <w:color w:val="000000"/>
          <w:sz w:val="24"/>
          <w:szCs w:val="24"/>
        </w:rPr>
        <w:t xml:space="preserve"> 监狱企业参加政府采购活动时，应当提供由省级以上监狱管理局、戒毒管理局（含新疆生产建设兵团）</w:t>
      </w:r>
      <w:r>
        <w:rPr>
          <w:rFonts w:hint="eastAsia"/>
          <w:sz w:val="24"/>
          <w:szCs w:val="24"/>
        </w:rPr>
        <w:t>出具的属于监狱企业的证明文件并加盖投标单位章。</w:t>
      </w:r>
    </w:p>
    <w:p w14:paraId="659B2F3B">
      <w:pPr>
        <w:autoSpaceDE w:val="0"/>
        <w:autoSpaceDN w:val="0"/>
        <w:adjustRightInd w:val="0"/>
        <w:jc w:val="center"/>
        <w:rPr>
          <w:rFonts w:hint="eastAsia" w:hAnsi="宋体" w:cs="宋体"/>
          <w:b/>
          <w:bCs/>
          <w:color w:val="000000"/>
          <w:sz w:val="24"/>
          <w:szCs w:val="24"/>
        </w:rPr>
      </w:pPr>
    </w:p>
    <w:p w14:paraId="0D6FE325">
      <w:pPr>
        <w:autoSpaceDE w:val="0"/>
        <w:autoSpaceDN w:val="0"/>
        <w:adjustRightInd w:val="0"/>
        <w:rPr>
          <w:rFonts w:hint="eastAsia" w:ascii="宋体" w:hAnsi="宋体" w:cs="宋体"/>
          <w:b/>
          <w:bCs/>
          <w:color w:val="000000"/>
          <w:szCs w:val="21"/>
          <w:lang w:val="zh-CN"/>
        </w:rPr>
      </w:pPr>
    </w:p>
    <w:p w14:paraId="1869CDD2">
      <w:pPr>
        <w:autoSpaceDE w:val="0"/>
        <w:autoSpaceDN w:val="0"/>
        <w:adjustRightInd w:val="0"/>
        <w:jc w:val="center"/>
        <w:rPr>
          <w:rFonts w:hint="eastAsia" w:ascii="宋体" w:hAnsi="宋体" w:cs="宋体"/>
          <w:b/>
          <w:bCs/>
          <w:color w:val="000000"/>
          <w:szCs w:val="21"/>
          <w:lang w:val="zh-CN"/>
        </w:rPr>
      </w:pPr>
    </w:p>
    <w:p w14:paraId="2E09C0CA">
      <w:pPr>
        <w:autoSpaceDE w:val="0"/>
        <w:autoSpaceDN w:val="0"/>
        <w:adjustRightInd w:val="0"/>
        <w:jc w:val="center"/>
        <w:rPr>
          <w:rFonts w:hint="eastAsia" w:ascii="宋体" w:hAnsi="宋体" w:cs="宋体"/>
          <w:b/>
          <w:bCs/>
          <w:color w:val="000000"/>
          <w:szCs w:val="21"/>
          <w:lang w:val="zh-CN"/>
        </w:rPr>
      </w:pPr>
    </w:p>
    <w:p w14:paraId="4735D482">
      <w:pPr>
        <w:autoSpaceDE w:val="0"/>
        <w:autoSpaceDN w:val="0"/>
        <w:adjustRightInd w:val="0"/>
        <w:jc w:val="center"/>
        <w:rPr>
          <w:rFonts w:hint="eastAsia" w:ascii="宋体" w:hAnsi="宋体" w:cs="宋体"/>
          <w:b/>
          <w:bCs/>
          <w:color w:val="000000"/>
          <w:szCs w:val="21"/>
          <w:lang w:val="zh-CN"/>
        </w:rPr>
      </w:pPr>
    </w:p>
    <w:p w14:paraId="772651DF">
      <w:pPr>
        <w:autoSpaceDE w:val="0"/>
        <w:autoSpaceDN w:val="0"/>
        <w:adjustRightInd w:val="0"/>
        <w:jc w:val="center"/>
        <w:rPr>
          <w:rFonts w:hint="eastAsia" w:ascii="宋体" w:hAnsi="宋体" w:cs="宋体"/>
          <w:b/>
          <w:bCs/>
          <w:color w:val="000000"/>
          <w:szCs w:val="21"/>
          <w:lang w:val="zh-CN"/>
        </w:rPr>
      </w:pPr>
    </w:p>
    <w:p w14:paraId="141FBF44">
      <w:pPr>
        <w:autoSpaceDE w:val="0"/>
        <w:autoSpaceDN w:val="0"/>
        <w:adjustRightInd w:val="0"/>
        <w:jc w:val="center"/>
        <w:rPr>
          <w:rFonts w:hint="eastAsia" w:ascii="宋体" w:hAnsi="宋体" w:cs="宋体"/>
          <w:b/>
          <w:bCs/>
          <w:color w:val="000000"/>
          <w:szCs w:val="21"/>
          <w:lang w:val="zh-CN"/>
        </w:rPr>
      </w:pPr>
    </w:p>
    <w:p w14:paraId="20F952DF">
      <w:pPr>
        <w:autoSpaceDE w:val="0"/>
        <w:autoSpaceDN w:val="0"/>
        <w:adjustRightInd w:val="0"/>
        <w:jc w:val="center"/>
        <w:rPr>
          <w:rFonts w:hint="eastAsia" w:ascii="宋体" w:hAnsi="宋体" w:cs="宋体"/>
          <w:b/>
          <w:bCs/>
          <w:color w:val="000000"/>
          <w:szCs w:val="21"/>
          <w:lang w:val="zh-CN"/>
        </w:rPr>
      </w:pPr>
    </w:p>
    <w:p w14:paraId="17ECED36">
      <w:pPr>
        <w:autoSpaceDE w:val="0"/>
        <w:autoSpaceDN w:val="0"/>
        <w:adjustRightInd w:val="0"/>
        <w:jc w:val="center"/>
        <w:rPr>
          <w:rFonts w:hint="eastAsia" w:ascii="宋体" w:hAnsi="宋体" w:cs="宋体"/>
          <w:b/>
          <w:bCs/>
          <w:color w:val="000000"/>
          <w:szCs w:val="21"/>
          <w:lang w:val="zh-CN"/>
        </w:rPr>
      </w:pPr>
    </w:p>
    <w:p w14:paraId="7754ECEE">
      <w:pPr>
        <w:autoSpaceDE w:val="0"/>
        <w:autoSpaceDN w:val="0"/>
        <w:adjustRightInd w:val="0"/>
        <w:jc w:val="center"/>
        <w:rPr>
          <w:rFonts w:hint="eastAsia" w:ascii="宋体" w:hAnsi="宋体" w:cs="宋体"/>
          <w:b/>
          <w:bCs/>
          <w:color w:val="000000"/>
          <w:szCs w:val="21"/>
          <w:lang w:val="zh-CN"/>
        </w:rPr>
      </w:pPr>
    </w:p>
    <w:p w14:paraId="10126F22">
      <w:pPr>
        <w:autoSpaceDE w:val="0"/>
        <w:autoSpaceDN w:val="0"/>
        <w:adjustRightInd w:val="0"/>
        <w:jc w:val="center"/>
        <w:rPr>
          <w:rFonts w:hint="eastAsia" w:ascii="宋体" w:hAnsi="宋体" w:cs="宋体"/>
          <w:b/>
          <w:bCs/>
          <w:color w:val="000000"/>
          <w:szCs w:val="21"/>
          <w:lang w:val="zh-CN"/>
        </w:rPr>
      </w:pPr>
    </w:p>
    <w:p w14:paraId="2E3E2AD1">
      <w:pPr>
        <w:autoSpaceDE w:val="0"/>
        <w:autoSpaceDN w:val="0"/>
        <w:adjustRightInd w:val="0"/>
        <w:jc w:val="center"/>
        <w:rPr>
          <w:rFonts w:hint="eastAsia" w:ascii="宋体" w:hAnsi="宋体" w:cs="宋体"/>
          <w:b/>
          <w:bCs/>
          <w:color w:val="000000"/>
          <w:szCs w:val="21"/>
          <w:lang w:val="zh-CN"/>
        </w:rPr>
      </w:pPr>
    </w:p>
    <w:p w14:paraId="21FD67FF">
      <w:pPr>
        <w:rPr>
          <w:rFonts w:hint="eastAsia" w:ascii="宋体" w:hAnsi="宋体" w:cs="宋体"/>
          <w:b/>
          <w:bCs/>
          <w:color w:val="000000"/>
          <w:szCs w:val="21"/>
          <w:lang w:val="zh-CN"/>
        </w:rPr>
      </w:pPr>
    </w:p>
    <w:p w14:paraId="118B73D6">
      <w:pPr>
        <w:rPr>
          <w:lang w:val="zh-CN"/>
        </w:rPr>
      </w:pPr>
    </w:p>
    <w:p w14:paraId="2DE7962F">
      <w:pPr>
        <w:rPr>
          <w:lang w:val="zh-CN"/>
        </w:rPr>
      </w:pPr>
    </w:p>
    <w:p w14:paraId="287960D1">
      <w:pPr>
        <w:rPr>
          <w:lang w:val="zh-CN"/>
        </w:rPr>
      </w:pPr>
    </w:p>
    <w:p w14:paraId="5384004D">
      <w:pPr>
        <w:rPr>
          <w:lang w:val="zh-CN"/>
        </w:rPr>
      </w:pPr>
    </w:p>
    <w:p w14:paraId="0A0C63AA">
      <w:pPr>
        <w:autoSpaceDE w:val="0"/>
        <w:autoSpaceDN w:val="0"/>
        <w:adjustRightInd w:val="0"/>
        <w:jc w:val="center"/>
        <w:rPr>
          <w:rFonts w:hint="eastAsia" w:ascii="宋体" w:hAnsi="宋体" w:cs="宋体"/>
          <w:b/>
          <w:bCs/>
          <w:color w:val="000000"/>
          <w:szCs w:val="21"/>
          <w:lang w:val="zh-CN"/>
        </w:rPr>
      </w:pPr>
      <w:r>
        <w:rPr>
          <w:rFonts w:hint="eastAsia" w:ascii="宋体" w:hAnsi="宋体" w:cs="宋体"/>
          <w:b/>
          <w:bCs/>
          <w:color w:val="000000"/>
          <w:szCs w:val="21"/>
          <w:lang w:val="zh-CN"/>
        </w:rPr>
        <w:br w:type="page"/>
      </w:r>
    </w:p>
    <w:p w14:paraId="1858347F">
      <w:pPr>
        <w:autoSpaceDE w:val="0"/>
        <w:autoSpaceDN w:val="0"/>
        <w:adjustRightInd w:val="0"/>
        <w:jc w:val="center"/>
        <w:rPr>
          <w:color w:val="000000"/>
          <w:sz w:val="28"/>
          <w:szCs w:val="28"/>
        </w:rPr>
      </w:pPr>
      <w:r>
        <w:rPr>
          <w:rFonts w:hAnsi="宋体" w:cs="宋体"/>
          <w:b/>
          <w:color w:val="000000"/>
          <w:sz w:val="28"/>
          <w:szCs w:val="28"/>
          <w:lang w:bidi="ar"/>
        </w:rPr>
        <w:t>残疾人福利性单位声明函</w:t>
      </w:r>
    </w:p>
    <w:p w14:paraId="0AE2A769">
      <w:pPr>
        <w:jc w:val="center"/>
        <w:rPr>
          <w:rFonts w:hint="eastAsia" w:hAnsi="宋体" w:cs="宋体"/>
          <w:b/>
          <w:color w:val="000000"/>
          <w:szCs w:val="21"/>
          <w:lang w:bidi="ar"/>
        </w:rPr>
      </w:pPr>
      <w:r>
        <w:rPr>
          <w:rFonts w:hAnsi="宋体" w:cs="宋体"/>
          <w:b/>
          <w:color w:val="000000"/>
          <w:szCs w:val="21"/>
          <w:lang w:bidi="ar"/>
        </w:rPr>
        <w:t> </w:t>
      </w:r>
    </w:p>
    <w:p w14:paraId="343D0E42">
      <w:pPr>
        <w:spacing w:line="360" w:lineRule="auto"/>
        <w:rPr>
          <w:rFonts w:hint="eastAsia" w:ascii="宋体" w:hAnsi="宋体" w:cs="宋体"/>
          <w:sz w:val="24"/>
          <w:szCs w:val="24"/>
        </w:rPr>
      </w:pPr>
      <w:r>
        <w:rPr>
          <w:rFonts w:hAnsi="宋体" w:cs="宋体"/>
          <w:color w:val="000000"/>
          <w:sz w:val="24"/>
          <w:szCs w:val="24"/>
          <w:lang w:bidi="ar"/>
        </w:rPr>
        <w:t>   </w:t>
      </w:r>
      <w:r>
        <w:rPr>
          <w:rFonts w:hAnsi="宋体" w:cs="宋体"/>
          <w:color w:val="000000"/>
          <w:szCs w:val="21"/>
          <w:lang w:bidi="ar"/>
        </w:rPr>
        <w:t xml:space="preserve"> </w:t>
      </w:r>
      <w:r>
        <w:rPr>
          <w:rFonts w:hint="eastAsia" w:ascii="宋体" w:hAnsi="宋体" w:cs="宋体"/>
          <w:sz w:val="24"/>
          <w:szCs w:val="24"/>
        </w:rPr>
        <w:t>本单位郑重声明，根据《财政部 民政部 中国残疾人联合会关于促进残疾人就业政府采购政策的通知》(财库〔2017〕141号)的规定，本单位 (请进行选择)：</w:t>
      </w:r>
    </w:p>
    <w:p w14:paraId="2558CCC6">
      <w:pPr>
        <w:spacing w:line="360" w:lineRule="auto"/>
        <w:ind w:firstLine="480" w:firstLineChars="200"/>
        <w:rPr>
          <w:rFonts w:hint="eastAsia" w:ascii="宋体" w:hAnsi="宋体" w:cs="宋体"/>
          <w:sz w:val="24"/>
          <w:szCs w:val="24"/>
        </w:rPr>
      </w:pPr>
      <w:r>
        <w:rPr>
          <w:rFonts w:hint="eastAsia" w:ascii="宋体" w:hAnsi="宋体" w:cs="宋体"/>
          <w:sz w:val="24"/>
          <w:szCs w:val="24"/>
        </w:rPr>
        <w:t>□不属于符合条件的残疾人福利性单位。</w:t>
      </w:r>
    </w:p>
    <w:p w14:paraId="5AB496C1">
      <w:pPr>
        <w:spacing w:line="360" w:lineRule="auto"/>
        <w:ind w:firstLine="480" w:firstLineChars="200"/>
        <w:rPr>
          <w:rFonts w:hint="eastAsia" w:ascii="宋体" w:hAnsi="宋体" w:cs="宋体"/>
          <w:sz w:val="24"/>
          <w:szCs w:val="24"/>
        </w:rPr>
      </w:pPr>
      <w:r>
        <w:rPr>
          <w:rFonts w:hint="eastAsia" w:ascii="宋体" w:hAnsi="宋体" w:cs="宋体"/>
          <w:sz w:val="24"/>
          <w:szCs w:val="24"/>
        </w:rPr>
        <w:t>□属于符合条件的残疾人福利性单位，且本单位参加______单位的______项目采购活动提供本单位制造的货物(由本单位承担工程/提供服务)，或者提供其他残疾人福利性单位制造的货物(不包括使用非残疾人福利性单位注册商标的货物)。</w:t>
      </w:r>
    </w:p>
    <w:p w14:paraId="5D08473F">
      <w:pPr>
        <w:spacing w:line="360" w:lineRule="auto"/>
        <w:ind w:firstLine="482" w:firstLineChars="200"/>
        <w:rPr>
          <w:rFonts w:hint="eastAsia" w:ascii="宋体" w:hAnsi="宋体" w:cs="宋体"/>
          <w:sz w:val="24"/>
          <w:szCs w:val="24"/>
        </w:rPr>
      </w:pPr>
      <w:r>
        <w:rPr>
          <w:rFonts w:hint="eastAsia" w:ascii="宋体" w:hAnsi="宋体" w:cs="宋体"/>
          <w:b/>
          <w:bCs/>
          <w:sz w:val="24"/>
          <w:szCs w:val="24"/>
        </w:rPr>
        <w:t>本单位对上述声明的真实性负责。如有虚假，将依法承担相应责任</w:t>
      </w:r>
      <w:r>
        <w:rPr>
          <w:rFonts w:hint="eastAsia" w:ascii="宋体" w:hAnsi="宋体" w:cs="宋体"/>
          <w:sz w:val="24"/>
          <w:szCs w:val="24"/>
        </w:rPr>
        <w:t>。</w:t>
      </w:r>
    </w:p>
    <w:p w14:paraId="21A233A0">
      <w:pPr>
        <w:spacing w:line="360" w:lineRule="auto"/>
        <w:rPr>
          <w:rFonts w:hint="eastAsia" w:ascii="宋体" w:hAnsi="宋体" w:cs="宋体"/>
          <w:sz w:val="24"/>
          <w:szCs w:val="24"/>
        </w:rPr>
      </w:pPr>
      <w:r>
        <w:rPr>
          <w:rFonts w:hint="eastAsia" w:ascii="宋体" w:hAnsi="宋体" w:cs="宋体"/>
          <w:sz w:val="24"/>
          <w:szCs w:val="24"/>
        </w:rPr>
        <w:t> </w:t>
      </w:r>
    </w:p>
    <w:p w14:paraId="66A33EA4">
      <w:pPr>
        <w:widowControl/>
        <w:spacing w:line="450" w:lineRule="atLeast"/>
        <w:jc w:val="left"/>
        <w:textAlignment w:val="baseline"/>
        <w:rPr>
          <w:color w:val="000000"/>
          <w:szCs w:val="21"/>
        </w:rPr>
      </w:pPr>
      <w:r>
        <w:rPr>
          <w:rFonts w:hAnsi="宋体" w:cs="宋体"/>
          <w:color w:val="000000"/>
          <w:szCs w:val="21"/>
          <w:lang w:bidi="ar"/>
        </w:rPr>
        <w:t> </w:t>
      </w:r>
    </w:p>
    <w:p w14:paraId="1FA6F84A">
      <w:pPr>
        <w:widowControl/>
        <w:spacing w:line="450" w:lineRule="atLeast"/>
        <w:jc w:val="center"/>
        <w:textAlignment w:val="baseline"/>
        <w:rPr>
          <w:rFonts w:hint="eastAsia" w:hAnsi="宋体" w:cs="宋体"/>
          <w:color w:val="000000"/>
          <w:sz w:val="24"/>
          <w:szCs w:val="24"/>
          <w:lang w:bidi="ar"/>
        </w:rPr>
      </w:pPr>
      <w:r>
        <w:rPr>
          <w:rFonts w:hAnsi="宋体" w:cs="宋体"/>
          <w:color w:val="000000"/>
          <w:szCs w:val="21"/>
          <w:lang w:bidi="ar"/>
        </w:rPr>
        <w:t>                                              </w:t>
      </w:r>
      <w:r>
        <w:rPr>
          <w:rFonts w:hAnsi="宋体" w:cs="宋体"/>
          <w:color w:val="000000"/>
          <w:sz w:val="24"/>
          <w:szCs w:val="24"/>
          <w:lang w:bidi="ar"/>
        </w:rPr>
        <w:t>   </w:t>
      </w:r>
      <w:r>
        <w:rPr>
          <w:rFonts w:hint="eastAsia" w:hAnsi="宋体" w:cs="宋体"/>
          <w:color w:val="000000"/>
          <w:sz w:val="24"/>
          <w:szCs w:val="24"/>
          <w:lang w:bidi="ar"/>
        </w:rPr>
        <w:t xml:space="preserve">        投标人名称（加盖公章）：</w:t>
      </w:r>
    </w:p>
    <w:p w14:paraId="638FF923">
      <w:pPr>
        <w:widowControl/>
        <w:spacing w:line="450" w:lineRule="atLeast"/>
        <w:jc w:val="center"/>
        <w:textAlignment w:val="baseline"/>
        <w:rPr>
          <w:rFonts w:hint="eastAsia" w:hAnsi="宋体" w:cs="宋体"/>
          <w:color w:val="000000"/>
          <w:sz w:val="24"/>
          <w:szCs w:val="24"/>
          <w:lang w:bidi="ar"/>
        </w:rPr>
      </w:pPr>
      <w:r>
        <w:rPr>
          <w:rFonts w:hint="eastAsia" w:hAnsi="宋体" w:cs="宋体"/>
          <w:color w:val="000000"/>
          <w:sz w:val="24"/>
          <w:szCs w:val="24"/>
          <w:lang w:bidi="ar"/>
        </w:rPr>
        <w:t xml:space="preserve">    法定代表人或授权代表（签字或盖章）：</w:t>
      </w:r>
    </w:p>
    <w:p w14:paraId="25558DC8">
      <w:pPr>
        <w:widowControl/>
        <w:spacing w:line="450" w:lineRule="atLeast"/>
        <w:jc w:val="center"/>
        <w:textAlignment w:val="baseline"/>
        <w:rPr>
          <w:color w:val="000000"/>
          <w:sz w:val="24"/>
          <w:szCs w:val="24"/>
        </w:rPr>
      </w:pPr>
      <w:r>
        <w:rPr>
          <w:rFonts w:hAnsi="宋体" w:cs="宋体"/>
          <w:color w:val="000000"/>
          <w:sz w:val="24"/>
          <w:szCs w:val="24"/>
          <w:lang w:bidi="ar"/>
        </w:rPr>
        <w:t>           </w:t>
      </w:r>
      <w:r>
        <w:rPr>
          <w:rFonts w:hint="eastAsia" w:hAnsi="宋体" w:cs="宋体"/>
          <w:color w:val="000000"/>
          <w:sz w:val="24"/>
          <w:szCs w:val="24"/>
          <w:lang w:bidi="ar"/>
        </w:rPr>
        <w:t xml:space="preserve">          </w:t>
      </w:r>
      <w:r>
        <w:rPr>
          <w:rFonts w:hAnsi="宋体" w:cs="宋体"/>
          <w:color w:val="000000"/>
          <w:sz w:val="24"/>
          <w:szCs w:val="24"/>
          <w:lang w:bidi="ar"/>
        </w:rPr>
        <w:t>日 期：</w:t>
      </w:r>
    </w:p>
    <w:p w14:paraId="5E2CF1DE">
      <w:pPr>
        <w:spacing w:before="168" w:line="232" w:lineRule="auto"/>
        <w:jc w:val="center"/>
        <w:outlineLvl w:val="2"/>
        <w:rPr>
          <w:rFonts w:hint="eastAsia" w:ascii="宋体" w:hAnsi="宋体" w:cs="宋体"/>
          <w:b/>
          <w:bCs/>
          <w:spacing w:val="1"/>
          <w:sz w:val="28"/>
          <w:szCs w:val="28"/>
        </w:rPr>
      </w:pPr>
    </w:p>
    <w:p w14:paraId="7D47C509">
      <w:pPr>
        <w:spacing w:before="168" w:line="232" w:lineRule="auto"/>
        <w:jc w:val="center"/>
        <w:outlineLvl w:val="2"/>
        <w:rPr>
          <w:rFonts w:hint="eastAsia" w:ascii="宋体" w:hAnsi="宋体" w:cs="宋体"/>
          <w:b/>
          <w:bCs/>
          <w:spacing w:val="1"/>
          <w:sz w:val="28"/>
          <w:szCs w:val="28"/>
        </w:rPr>
      </w:pPr>
    </w:p>
    <w:p w14:paraId="455EDFFB">
      <w:pPr>
        <w:spacing w:before="168" w:line="232" w:lineRule="auto"/>
        <w:jc w:val="center"/>
        <w:outlineLvl w:val="2"/>
        <w:rPr>
          <w:rFonts w:hint="eastAsia" w:ascii="宋体" w:hAnsi="宋体" w:cs="宋体"/>
          <w:b/>
          <w:bCs/>
          <w:spacing w:val="1"/>
          <w:sz w:val="28"/>
          <w:szCs w:val="28"/>
        </w:rPr>
      </w:pPr>
    </w:p>
    <w:p w14:paraId="63C387CF">
      <w:pPr>
        <w:spacing w:before="168" w:line="232" w:lineRule="auto"/>
        <w:jc w:val="center"/>
        <w:outlineLvl w:val="2"/>
        <w:rPr>
          <w:rFonts w:hint="eastAsia" w:ascii="宋体" w:hAnsi="宋体" w:cs="宋体"/>
          <w:b/>
          <w:bCs/>
          <w:spacing w:val="1"/>
          <w:sz w:val="28"/>
          <w:szCs w:val="28"/>
        </w:rPr>
      </w:pPr>
    </w:p>
    <w:p w14:paraId="5F3DF20E">
      <w:pPr>
        <w:spacing w:before="168" w:line="232" w:lineRule="auto"/>
        <w:jc w:val="center"/>
        <w:outlineLvl w:val="2"/>
        <w:rPr>
          <w:rFonts w:hint="eastAsia" w:ascii="宋体" w:hAnsi="宋体" w:cs="宋体"/>
          <w:b/>
          <w:bCs/>
          <w:spacing w:val="1"/>
          <w:sz w:val="28"/>
          <w:szCs w:val="28"/>
        </w:rPr>
      </w:pPr>
    </w:p>
    <w:p w14:paraId="667BE577">
      <w:pPr>
        <w:spacing w:before="168" w:line="232" w:lineRule="auto"/>
        <w:jc w:val="center"/>
        <w:outlineLvl w:val="2"/>
        <w:rPr>
          <w:rFonts w:hint="eastAsia" w:ascii="宋体" w:hAnsi="宋体" w:cs="宋体"/>
          <w:b/>
          <w:bCs/>
          <w:spacing w:val="1"/>
          <w:sz w:val="28"/>
          <w:szCs w:val="28"/>
        </w:rPr>
      </w:pPr>
    </w:p>
    <w:p w14:paraId="3A1EF307">
      <w:pPr>
        <w:spacing w:before="168" w:line="232" w:lineRule="auto"/>
        <w:jc w:val="center"/>
        <w:outlineLvl w:val="2"/>
        <w:rPr>
          <w:rFonts w:hint="eastAsia" w:ascii="宋体" w:hAnsi="宋体" w:cs="宋体"/>
          <w:b/>
          <w:bCs/>
          <w:spacing w:val="1"/>
          <w:sz w:val="28"/>
          <w:szCs w:val="28"/>
        </w:rPr>
      </w:pPr>
    </w:p>
    <w:p w14:paraId="505E237E">
      <w:pPr>
        <w:spacing w:before="168" w:line="232" w:lineRule="auto"/>
        <w:jc w:val="center"/>
        <w:outlineLvl w:val="2"/>
        <w:rPr>
          <w:rFonts w:hint="eastAsia" w:ascii="宋体" w:hAnsi="宋体" w:cs="宋体"/>
          <w:b/>
          <w:bCs/>
          <w:sz w:val="28"/>
          <w:szCs w:val="28"/>
        </w:rPr>
      </w:pPr>
      <w:r>
        <w:rPr>
          <w:rFonts w:hint="eastAsia" w:ascii="宋体" w:hAnsi="宋体" w:cs="宋体"/>
          <w:b/>
          <w:bCs/>
          <w:spacing w:val="1"/>
          <w:sz w:val="28"/>
          <w:szCs w:val="28"/>
        </w:rPr>
        <w:t>十一</w:t>
      </w:r>
      <w:r>
        <w:rPr>
          <w:rFonts w:ascii="宋体" w:hAnsi="宋体" w:cs="宋体"/>
          <w:b/>
          <w:bCs/>
          <w:spacing w:val="1"/>
          <w:sz w:val="28"/>
          <w:szCs w:val="28"/>
        </w:rPr>
        <w:t>、</w:t>
      </w:r>
      <w:r>
        <w:rPr>
          <w:rFonts w:hint="eastAsia" w:ascii="宋体" w:hAnsi="宋体" w:cs="宋体"/>
          <w:b/>
          <w:bCs/>
          <w:spacing w:val="1"/>
          <w:sz w:val="28"/>
          <w:szCs w:val="28"/>
        </w:rPr>
        <w:t>其他要求</w:t>
      </w:r>
    </w:p>
    <w:p w14:paraId="46846B58">
      <w:pPr>
        <w:spacing w:before="101" w:line="227" w:lineRule="auto"/>
        <w:jc w:val="left"/>
        <w:outlineLvl w:val="1"/>
        <w:rPr>
          <w:rFonts w:hint="eastAsia" w:ascii="黑体" w:hAnsi="黑体" w:eastAsia="黑体" w:cs="黑体"/>
          <w:spacing w:val="12"/>
          <w:sz w:val="24"/>
          <w:szCs w:val="24"/>
        </w:rPr>
      </w:pPr>
      <w:r>
        <w:rPr>
          <w:rFonts w:hint="eastAsia" w:ascii="宋体" w:hAnsi="宋体" w:cs="宋体"/>
          <w:sz w:val="24"/>
          <w:szCs w:val="24"/>
        </w:rPr>
        <w:t>与采购人存在利害关系可能影响招标公正性的法人、其他组织或者个人，不得参加投标。单位负责人为同一人或者存在控股、管理关系的不同单位，不得参加同一标段投标或者未划分标段的同一招标项目投标。违反这两款规定的，相关投标应当被否决</w:t>
      </w:r>
      <w:r>
        <w:rPr>
          <w:rFonts w:hint="eastAsia" w:ascii="宋体" w:hAnsi="宋体" w:cs="宋体"/>
          <w:b/>
          <w:sz w:val="24"/>
          <w:szCs w:val="24"/>
          <w:lang w:val="zh-CN"/>
        </w:rPr>
        <w:t>（</w:t>
      </w:r>
      <w:r>
        <w:rPr>
          <w:rFonts w:hint="eastAsia" w:ascii="宋体" w:hAnsi="宋体" w:cs="宋体"/>
          <w:b/>
          <w:bCs/>
          <w:sz w:val="24"/>
          <w:szCs w:val="24"/>
          <w:lang w:val="zh-CN"/>
        </w:rPr>
        <w:t>标书内附法定代表人签字并加盖公章的承诺书</w:t>
      </w:r>
      <w:r>
        <w:rPr>
          <w:rFonts w:hint="eastAsia" w:ascii="宋体" w:hAnsi="宋体" w:cs="宋体"/>
          <w:b/>
          <w:sz w:val="24"/>
          <w:szCs w:val="24"/>
          <w:lang w:val="zh-CN"/>
        </w:rPr>
        <w:t>）</w:t>
      </w:r>
    </w:p>
    <w:p w14:paraId="6116EF40">
      <w:pPr>
        <w:pStyle w:val="20"/>
        <w:ind w:firstLine="640"/>
      </w:pPr>
    </w:p>
    <w:p w14:paraId="47E553C0"/>
    <w:p w14:paraId="43CABD00">
      <w:pPr>
        <w:pStyle w:val="20"/>
        <w:ind w:firstLine="640"/>
      </w:pPr>
    </w:p>
    <w:p w14:paraId="53C17115"/>
    <w:p w14:paraId="3F1C026E">
      <w:pPr>
        <w:pStyle w:val="20"/>
        <w:ind w:firstLine="640"/>
      </w:pPr>
    </w:p>
    <w:p w14:paraId="3095FA99"/>
    <w:p w14:paraId="04BB81BF">
      <w:pPr>
        <w:pStyle w:val="20"/>
        <w:ind w:firstLine="640"/>
      </w:pPr>
    </w:p>
    <w:p w14:paraId="286D3EC6"/>
    <w:p w14:paraId="020E093A">
      <w:pPr>
        <w:pStyle w:val="20"/>
        <w:ind w:firstLine="640"/>
      </w:pPr>
    </w:p>
    <w:p w14:paraId="6F849AA2"/>
    <w:p w14:paraId="4D2D2B45">
      <w:pPr>
        <w:pStyle w:val="20"/>
        <w:ind w:firstLine="640"/>
      </w:pPr>
    </w:p>
    <w:p w14:paraId="58E1CE8E"/>
    <w:p w14:paraId="69BE0B47">
      <w:pPr>
        <w:pStyle w:val="20"/>
        <w:ind w:firstLine="640"/>
      </w:pPr>
    </w:p>
    <w:p w14:paraId="3AC3A000"/>
    <w:p w14:paraId="7DDDE77A">
      <w:pPr>
        <w:pStyle w:val="20"/>
        <w:ind w:firstLine="640"/>
      </w:pPr>
    </w:p>
    <w:p w14:paraId="45063E76"/>
    <w:p w14:paraId="1B971A8C">
      <w:pPr>
        <w:pStyle w:val="20"/>
        <w:ind w:firstLine="640"/>
      </w:pPr>
    </w:p>
    <w:p w14:paraId="0EE232FF"/>
    <w:p w14:paraId="16CB14B7">
      <w:pPr>
        <w:pStyle w:val="20"/>
        <w:ind w:firstLine="640"/>
      </w:pPr>
    </w:p>
    <w:p w14:paraId="07E66D2D"/>
    <w:p w14:paraId="2DF70FC5">
      <w:pPr>
        <w:pStyle w:val="20"/>
        <w:ind w:firstLine="640"/>
      </w:pPr>
    </w:p>
    <w:p w14:paraId="7A24C9C9"/>
    <w:p w14:paraId="705E2053">
      <w:pPr>
        <w:pStyle w:val="20"/>
        <w:ind w:firstLine="640"/>
      </w:pPr>
    </w:p>
    <w:p w14:paraId="660AF72D"/>
    <w:p w14:paraId="4DB97042">
      <w:pPr>
        <w:pStyle w:val="20"/>
        <w:ind w:firstLine="640"/>
      </w:pPr>
    </w:p>
    <w:p w14:paraId="5E1477EE"/>
    <w:p w14:paraId="5249CB23">
      <w:pPr>
        <w:pStyle w:val="20"/>
        <w:ind w:firstLine="640"/>
      </w:pPr>
    </w:p>
    <w:p w14:paraId="7402EA35"/>
    <w:p w14:paraId="2EDFF40F">
      <w:pPr>
        <w:pStyle w:val="20"/>
        <w:ind w:firstLine="640"/>
      </w:pPr>
    </w:p>
    <w:p w14:paraId="60A2A037"/>
    <w:p w14:paraId="59E943BB"/>
    <w:p w14:paraId="64D85065">
      <w:pPr>
        <w:spacing w:before="101" w:line="227" w:lineRule="auto"/>
        <w:jc w:val="center"/>
        <w:outlineLvl w:val="1"/>
        <w:rPr>
          <w:rFonts w:hint="eastAsia" w:ascii="黑体" w:hAnsi="黑体" w:eastAsia="黑体" w:cs="黑体"/>
          <w:sz w:val="31"/>
          <w:szCs w:val="31"/>
        </w:rPr>
      </w:pPr>
      <w:r>
        <w:rPr>
          <w:rFonts w:ascii="黑体" w:hAnsi="黑体" w:eastAsia="黑体" w:cs="黑体"/>
          <w:spacing w:val="12"/>
          <w:sz w:val="31"/>
          <w:szCs w:val="31"/>
          <w14:textOutline w14:w="5791" w14:cap="sq" w14:cmpd="sng" w14:algn="ctr">
            <w14:solidFill>
              <w14:srgbClr w14:val="000000"/>
            </w14:solidFill>
            <w14:prstDash w14:val="solid"/>
            <w14:bevel/>
          </w14:textOutline>
        </w:rPr>
        <w:t>第</w:t>
      </w:r>
      <w:r>
        <w:rPr>
          <w:rFonts w:ascii="黑体" w:hAnsi="黑体" w:eastAsia="黑体" w:cs="黑体"/>
          <w:spacing w:val="10"/>
          <w:sz w:val="31"/>
          <w:szCs w:val="31"/>
          <w14:textOutline w14:w="5791" w14:cap="sq" w14:cmpd="sng" w14:algn="ctr">
            <w14:solidFill>
              <w14:srgbClr w14:val="000000"/>
            </w14:solidFill>
            <w14:prstDash w14:val="solid"/>
            <w14:bevel/>
          </w14:textOutline>
        </w:rPr>
        <w:t>二部分、</w:t>
      </w:r>
      <w:r>
        <w:rPr>
          <w:rFonts w:hint="eastAsia" w:ascii="黑体" w:hAnsi="黑体" w:eastAsia="黑体" w:cs="黑体"/>
          <w:spacing w:val="10"/>
          <w:sz w:val="31"/>
          <w:szCs w:val="31"/>
          <w14:textOutline w14:w="5791" w14:cap="sq" w14:cmpd="sng" w14:algn="ctr">
            <w14:solidFill>
              <w14:srgbClr w14:val="000000"/>
            </w14:solidFill>
            <w14:prstDash w14:val="solid"/>
            <w14:bevel/>
          </w14:textOutline>
        </w:rPr>
        <w:t>商务</w:t>
      </w:r>
      <w:r>
        <w:rPr>
          <w:rFonts w:ascii="黑体" w:hAnsi="黑体" w:eastAsia="黑体" w:cs="黑体"/>
          <w:spacing w:val="10"/>
          <w:sz w:val="31"/>
          <w:szCs w:val="31"/>
          <w14:textOutline w14:w="5791" w14:cap="sq" w14:cmpd="sng" w14:algn="ctr">
            <w14:solidFill>
              <w14:srgbClr w14:val="000000"/>
            </w14:solidFill>
            <w14:prstDash w14:val="solid"/>
            <w14:bevel/>
          </w14:textOutline>
        </w:rPr>
        <w:t>和</w:t>
      </w:r>
      <w:r>
        <w:rPr>
          <w:rFonts w:hint="eastAsia" w:ascii="黑体" w:hAnsi="黑体" w:eastAsia="黑体" w:cs="黑体"/>
          <w:spacing w:val="10"/>
          <w:sz w:val="31"/>
          <w:szCs w:val="31"/>
          <w14:textOutline w14:w="5791" w14:cap="sq" w14:cmpd="sng" w14:algn="ctr">
            <w14:solidFill>
              <w14:srgbClr w14:val="000000"/>
            </w14:solidFill>
            <w14:prstDash w14:val="solid"/>
            <w14:bevel/>
          </w14:textOutline>
        </w:rPr>
        <w:t>技术</w:t>
      </w:r>
      <w:r>
        <w:rPr>
          <w:rFonts w:ascii="黑体" w:hAnsi="黑体" w:eastAsia="黑体" w:cs="黑体"/>
          <w:spacing w:val="10"/>
          <w:sz w:val="31"/>
          <w:szCs w:val="31"/>
          <w14:textOutline w14:w="5791" w14:cap="sq" w14:cmpd="sng" w14:algn="ctr">
            <w14:solidFill>
              <w14:srgbClr w14:val="000000"/>
            </w14:solidFill>
            <w14:prstDash w14:val="solid"/>
            <w14:bevel/>
          </w14:textOutline>
        </w:rPr>
        <w:t>文件部分</w:t>
      </w:r>
    </w:p>
    <w:p w14:paraId="59912F5F">
      <w:pPr>
        <w:autoSpaceDE w:val="0"/>
        <w:autoSpaceDN w:val="0"/>
        <w:adjustRightInd w:val="0"/>
        <w:jc w:val="center"/>
        <w:rPr>
          <w:rFonts w:hint="eastAsia" w:ascii="宋体" w:hAnsi="宋体" w:cs="宋体"/>
          <w:b/>
          <w:bCs/>
          <w:color w:val="000000"/>
          <w:sz w:val="28"/>
          <w:szCs w:val="28"/>
          <w:lang w:val="zh-CN"/>
        </w:rPr>
      </w:pPr>
    </w:p>
    <w:p w14:paraId="31D332F1">
      <w:pPr>
        <w:autoSpaceDE w:val="0"/>
        <w:autoSpaceDN w:val="0"/>
        <w:adjustRightInd w:val="0"/>
        <w:jc w:val="center"/>
        <w:rPr>
          <w:rFonts w:hint="eastAsia" w:ascii="宋体" w:hAnsi="宋体" w:cs="宋体"/>
          <w:b/>
          <w:bCs/>
          <w:color w:val="000000"/>
          <w:sz w:val="28"/>
          <w:szCs w:val="28"/>
          <w:lang w:val="zh-CN"/>
        </w:rPr>
      </w:pPr>
    </w:p>
    <w:p w14:paraId="0E5622D1">
      <w:pPr>
        <w:autoSpaceDE w:val="0"/>
        <w:autoSpaceDN w:val="0"/>
        <w:adjustRightInd w:val="0"/>
        <w:jc w:val="center"/>
        <w:rPr>
          <w:rFonts w:hint="eastAsia" w:ascii="宋体" w:hAnsi="宋体" w:cs="宋体"/>
          <w:b/>
          <w:bCs/>
          <w:color w:val="000000"/>
          <w:sz w:val="28"/>
          <w:szCs w:val="28"/>
          <w:lang w:val="zh-CN"/>
        </w:rPr>
      </w:pPr>
    </w:p>
    <w:p w14:paraId="1982688C">
      <w:pPr>
        <w:autoSpaceDE w:val="0"/>
        <w:autoSpaceDN w:val="0"/>
        <w:adjustRightInd w:val="0"/>
        <w:jc w:val="center"/>
        <w:rPr>
          <w:rFonts w:hint="eastAsia" w:ascii="宋体" w:hAnsi="宋体" w:cs="宋体"/>
          <w:b/>
          <w:bCs/>
          <w:color w:val="000000"/>
          <w:sz w:val="28"/>
          <w:szCs w:val="28"/>
          <w:lang w:val="zh-CN"/>
        </w:rPr>
      </w:pPr>
    </w:p>
    <w:p w14:paraId="3AF17450">
      <w:pPr>
        <w:autoSpaceDE w:val="0"/>
        <w:autoSpaceDN w:val="0"/>
        <w:adjustRightInd w:val="0"/>
        <w:jc w:val="center"/>
        <w:rPr>
          <w:rFonts w:hint="eastAsia" w:ascii="宋体" w:hAnsi="宋体" w:cs="宋体"/>
          <w:b/>
          <w:bCs/>
          <w:color w:val="000000"/>
          <w:sz w:val="28"/>
          <w:szCs w:val="28"/>
          <w:lang w:val="zh-CN"/>
        </w:rPr>
      </w:pPr>
    </w:p>
    <w:p w14:paraId="5C07F668">
      <w:pPr>
        <w:autoSpaceDE w:val="0"/>
        <w:autoSpaceDN w:val="0"/>
        <w:adjustRightInd w:val="0"/>
        <w:jc w:val="center"/>
        <w:rPr>
          <w:rFonts w:hint="eastAsia" w:ascii="宋体" w:hAnsi="宋体" w:cs="宋体"/>
          <w:b/>
          <w:bCs/>
          <w:color w:val="000000"/>
          <w:sz w:val="28"/>
          <w:szCs w:val="28"/>
          <w:lang w:val="zh-CN"/>
        </w:rPr>
      </w:pPr>
    </w:p>
    <w:p w14:paraId="3884C95A">
      <w:pPr>
        <w:autoSpaceDE w:val="0"/>
        <w:autoSpaceDN w:val="0"/>
        <w:adjustRightInd w:val="0"/>
        <w:jc w:val="center"/>
        <w:rPr>
          <w:rFonts w:hint="eastAsia" w:ascii="宋体" w:hAnsi="宋体" w:cs="宋体"/>
          <w:b/>
          <w:bCs/>
          <w:color w:val="000000"/>
          <w:sz w:val="28"/>
          <w:szCs w:val="28"/>
          <w:lang w:val="zh-CN"/>
        </w:rPr>
      </w:pPr>
    </w:p>
    <w:p w14:paraId="592D45CE">
      <w:pPr>
        <w:autoSpaceDE w:val="0"/>
        <w:autoSpaceDN w:val="0"/>
        <w:adjustRightInd w:val="0"/>
        <w:jc w:val="center"/>
        <w:rPr>
          <w:rFonts w:hint="eastAsia" w:ascii="宋体" w:hAnsi="宋体" w:cs="宋体"/>
          <w:b/>
          <w:bCs/>
          <w:color w:val="000000"/>
          <w:sz w:val="28"/>
          <w:szCs w:val="28"/>
          <w:lang w:val="zh-CN"/>
        </w:rPr>
      </w:pPr>
    </w:p>
    <w:p w14:paraId="38DBCDF2">
      <w:pPr>
        <w:autoSpaceDE w:val="0"/>
        <w:autoSpaceDN w:val="0"/>
        <w:adjustRightInd w:val="0"/>
        <w:jc w:val="center"/>
        <w:rPr>
          <w:rFonts w:hint="eastAsia" w:ascii="宋体" w:hAnsi="宋体" w:cs="宋体"/>
          <w:b/>
          <w:bCs/>
          <w:color w:val="000000"/>
          <w:sz w:val="28"/>
          <w:szCs w:val="28"/>
          <w:lang w:val="zh-CN"/>
        </w:rPr>
      </w:pPr>
    </w:p>
    <w:p w14:paraId="63789C25">
      <w:pPr>
        <w:autoSpaceDE w:val="0"/>
        <w:autoSpaceDN w:val="0"/>
        <w:adjustRightInd w:val="0"/>
        <w:jc w:val="center"/>
        <w:rPr>
          <w:rFonts w:hint="eastAsia" w:ascii="宋体" w:hAnsi="宋体" w:cs="宋体"/>
          <w:b/>
          <w:bCs/>
          <w:color w:val="000000"/>
          <w:sz w:val="28"/>
          <w:szCs w:val="28"/>
          <w:lang w:val="zh-CN"/>
        </w:rPr>
      </w:pPr>
    </w:p>
    <w:p w14:paraId="250B327A">
      <w:pPr>
        <w:autoSpaceDE w:val="0"/>
        <w:autoSpaceDN w:val="0"/>
        <w:adjustRightInd w:val="0"/>
        <w:jc w:val="center"/>
        <w:rPr>
          <w:rFonts w:hint="eastAsia" w:ascii="宋体" w:hAnsi="宋体" w:cs="宋体"/>
          <w:b/>
          <w:bCs/>
          <w:color w:val="000000"/>
          <w:sz w:val="28"/>
          <w:szCs w:val="28"/>
          <w:lang w:val="zh-CN"/>
        </w:rPr>
      </w:pPr>
    </w:p>
    <w:p w14:paraId="399C2F8A">
      <w:pPr>
        <w:autoSpaceDE w:val="0"/>
        <w:autoSpaceDN w:val="0"/>
        <w:adjustRightInd w:val="0"/>
        <w:jc w:val="center"/>
        <w:rPr>
          <w:rFonts w:hint="eastAsia" w:ascii="宋体" w:hAnsi="宋体" w:cs="宋体"/>
          <w:b/>
          <w:bCs/>
          <w:color w:val="000000"/>
          <w:sz w:val="28"/>
          <w:szCs w:val="28"/>
          <w:lang w:val="zh-CN"/>
        </w:rPr>
      </w:pPr>
    </w:p>
    <w:p w14:paraId="37D883F8">
      <w:pPr>
        <w:autoSpaceDE w:val="0"/>
        <w:autoSpaceDN w:val="0"/>
        <w:adjustRightInd w:val="0"/>
        <w:jc w:val="center"/>
        <w:rPr>
          <w:rFonts w:hint="eastAsia" w:ascii="宋体" w:hAnsi="宋体" w:cs="宋体"/>
          <w:b/>
          <w:bCs/>
          <w:color w:val="000000"/>
          <w:sz w:val="28"/>
          <w:szCs w:val="28"/>
          <w:lang w:val="zh-CN"/>
        </w:rPr>
      </w:pPr>
    </w:p>
    <w:p w14:paraId="084B9BD6">
      <w:pPr>
        <w:autoSpaceDE w:val="0"/>
        <w:autoSpaceDN w:val="0"/>
        <w:adjustRightInd w:val="0"/>
        <w:jc w:val="center"/>
        <w:rPr>
          <w:rFonts w:hint="eastAsia" w:ascii="宋体" w:hAnsi="宋体" w:cs="宋体"/>
          <w:b/>
          <w:bCs/>
          <w:color w:val="000000"/>
          <w:sz w:val="28"/>
          <w:szCs w:val="28"/>
          <w:lang w:val="zh-CN"/>
        </w:rPr>
      </w:pPr>
    </w:p>
    <w:p w14:paraId="57A612F1">
      <w:pPr>
        <w:autoSpaceDE w:val="0"/>
        <w:autoSpaceDN w:val="0"/>
        <w:adjustRightInd w:val="0"/>
        <w:jc w:val="center"/>
        <w:rPr>
          <w:rFonts w:hint="eastAsia" w:ascii="宋体" w:hAnsi="宋体" w:cs="宋体"/>
          <w:b/>
          <w:bCs/>
          <w:color w:val="000000"/>
          <w:sz w:val="28"/>
          <w:szCs w:val="28"/>
          <w:lang w:val="zh-CN"/>
        </w:rPr>
      </w:pPr>
    </w:p>
    <w:p w14:paraId="19319C38">
      <w:pPr>
        <w:spacing w:before="245" w:beforeLines="50" w:after="245" w:afterLines="50" w:line="560" w:lineRule="exact"/>
        <w:jc w:val="center"/>
        <w:rPr>
          <w:rFonts w:hint="eastAsia" w:ascii="宋体" w:hAnsi="宋体" w:cs="宋体"/>
          <w:b/>
          <w:sz w:val="24"/>
          <w:szCs w:val="24"/>
        </w:rPr>
      </w:pPr>
      <w:r>
        <w:rPr>
          <w:rFonts w:hint="eastAsia" w:ascii="宋体" w:hAnsi="宋体" w:cs="宋体"/>
          <w:b/>
          <w:sz w:val="24"/>
          <w:szCs w:val="24"/>
        </w:rPr>
        <w:t>符合性审查索引表</w:t>
      </w:r>
    </w:p>
    <w:p w14:paraId="1F42BCB4">
      <w:pPr>
        <w:spacing w:line="400" w:lineRule="exact"/>
        <w:rPr>
          <w:rFonts w:hint="eastAsia" w:ascii="宋体" w:hAnsi="宋体" w:cs="宋体"/>
          <w:bCs/>
          <w:sz w:val="24"/>
          <w:szCs w:val="24"/>
        </w:rPr>
      </w:pPr>
      <w:r>
        <w:rPr>
          <w:rFonts w:hint="eastAsia" w:ascii="宋体" w:hAnsi="宋体" w:cs="宋体"/>
          <w:bCs/>
          <w:sz w:val="24"/>
          <w:szCs w:val="24"/>
        </w:rPr>
        <w:t>投标供应商务必在商务和技术文件正文前制作本索引表。</w:t>
      </w:r>
    </w:p>
    <w:tbl>
      <w:tblPr>
        <w:tblStyle w:val="21"/>
        <w:tblW w:w="5000"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98"/>
        <w:gridCol w:w="6049"/>
        <w:gridCol w:w="2915"/>
      </w:tblGrid>
      <w:tr w14:paraId="202FBF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549" w:hRule="atLeast"/>
          <w:jc w:val="center"/>
        </w:trPr>
        <w:tc>
          <w:tcPr>
            <w:tcW w:w="501" w:type="pct"/>
            <w:vMerge w:val="restart"/>
            <w:vAlign w:val="center"/>
          </w:tcPr>
          <w:p w14:paraId="5E4E0D3F">
            <w:pPr>
              <w:jc w:val="center"/>
              <w:rPr>
                <w:rFonts w:hint="eastAsia" w:ascii="宋体" w:hAnsi="宋体"/>
                <w:bCs/>
                <w:sz w:val="24"/>
              </w:rPr>
            </w:pPr>
            <w:r>
              <w:rPr>
                <w:rFonts w:hint="eastAsia" w:ascii="宋体" w:hAnsi="宋体"/>
                <w:bCs/>
                <w:sz w:val="24"/>
              </w:rPr>
              <w:t>序号</w:t>
            </w:r>
          </w:p>
        </w:tc>
        <w:tc>
          <w:tcPr>
            <w:tcW w:w="3036" w:type="pct"/>
            <w:vMerge w:val="restart"/>
            <w:vAlign w:val="center"/>
          </w:tcPr>
          <w:p w14:paraId="735F0B24">
            <w:pPr>
              <w:jc w:val="center"/>
              <w:rPr>
                <w:bCs/>
                <w:sz w:val="24"/>
              </w:rPr>
            </w:pPr>
            <w:r>
              <w:rPr>
                <w:rFonts w:hint="eastAsia"/>
                <w:bCs/>
                <w:sz w:val="24"/>
              </w:rPr>
              <w:t>符合性审查项目</w:t>
            </w:r>
          </w:p>
        </w:tc>
        <w:tc>
          <w:tcPr>
            <w:tcW w:w="1463" w:type="pct"/>
            <w:vMerge w:val="restart"/>
            <w:vAlign w:val="center"/>
          </w:tcPr>
          <w:p w14:paraId="203B5B71">
            <w:pPr>
              <w:jc w:val="center"/>
              <w:rPr>
                <w:bCs/>
                <w:sz w:val="24"/>
              </w:rPr>
            </w:pPr>
            <w:r>
              <w:rPr>
                <w:rFonts w:hint="eastAsia"/>
                <w:bCs/>
                <w:sz w:val="24"/>
              </w:rPr>
              <w:t>文件名称</w:t>
            </w:r>
            <w:r>
              <w:rPr>
                <w:rFonts w:hint="eastAsia" w:ascii="宋体" w:hAnsi="宋体"/>
                <w:bCs/>
                <w:sz w:val="24"/>
              </w:rPr>
              <w:t>∕</w:t>
            </w:r>
            <w:r>
              <w:rPr>
                <w:rFonts w:hint="eastAsia"/>
                <w:bCs/>
                <w:sz w:val="24"/>
              </w:rPr>
              <w:t>页码</w:t>
            </w:r>
          </w:p>
        </w:tc>
      </w:tr>
      <w:tr w14:paraId="6A6AAC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0" w:hRule="atLeast"/>
          <w:jc w:val="center"/>
        </w:trPr>
        <w:tc>
          <w:tcPr>
            <w:tcW w:w="501" w:type="pct"/>
            <w:vMerge w:val="continue"/>
            <w:vAlign w:val="center"/>
          </w:tcPr>
          <w:p w14:paraId="62C5822D">
            <w:pPr>
              <w:jc w:val="center"/>
              <w:rPr>
                <w:rFonts w:hint="eastAsia" w:ascii="宋体" w:hAnsi="宋体"/>
                <w:bCs/>
                <w:sz w:val="24"/>
              </w:rPr>
            </w:pPr>
          </w:p>
        </w:tc>
        <w:tc>
          <w:tcPr>
            <w:tcW w:w="3036" w:type="pct"/>
            <w:vMerge w:val="continue"/>
            <w:vAlign w:val="center"/>
          </w:tcPr>
          <w:p w14:paraId="4E1FE2F8">
            <w:pPr>
              <w:jc w:val="center"/>
              <w:rPr>
                <w:bCs/>
                <w:sz w:val="24"/>
              </w:rPr>
            </w:pPr>
          </w:p>
        </w:tc>
        <w:tc>
          <w:tcPr>
            <w:tcW w:w="1463" w:type="pct"/>
            <w:vMerge w:val="continue"/>
            <w:vAlign w:val="center"/>
          </w:tcPr>
          <w:p w14:paraId="38533024">
            <w:pPr>
              <w:jc w:val="center"/>
              <w:rPr>
                <w:bCs/>
                <w:sz w:val="24"/>
              </w:rPr>
            </w:pPr>
          </w:p>
        </w:tc>
      </w:tr>
      <w:tr w14:paraId="4CCDB1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36" w:hRule="exact"/>
          <w:jc w:val="center"/>
        </w:trPr>
        <w:tc>
          <w:tcPr>
            <w:tcW w:w="501" w:type="pct"/>
            <w:vAlign w:val="center"/>
          </w:tcPr>
          <w:p w14:paraId="195803F6">
            <w:pPr>
              <w:jc w:val="center"/>
              <w:rPr>
                <w:rFonts w:hint="eastAsia" w:ascii="宋体" w:hAnsi="宋体"/>
                <w:bCs/>
                <w:sz w:val="24"/>
              </w:rPr>
            </w:pPr>
            <w:r>
              <w:rPr>
                <w:rFonts w:ascii="宋体" w:hAnsi="宋体"/>
                <w:bCs/>
                <w:sz w:val="24"/>
              </w:rPr>
              <w:t>1</w:t>
            </w:r>
          </w:p>
        </w:tc>
        <w:tc>
          <w:tcPr>
            <w:tcW w:w="3036" w:type="pct"/>
            <w:vAlign w:val="center"/>
          </w:tcPr>
          <w:p w14:paraId="609CAA8A">
            <w:pPr>
              <w:jc w:val="center"/>
              <w:rPr>
                <w:bCs/>
                <w:sz w:val="24"/>
              </w:rPr>
            </w:pPr>
            <w:r>
              <w:rPr>
                <w:rFonts w:hint="eastAsia" w:ascii="宋体" w:hAnsi="宋体" w:cs="宋体"/>
                <w:bCs/>
                <w:sz w:val="24"/>
                <w:szCs w:val="24"/>
              </w:rPr>
              <w:t>……</w:t>
            </w:r>
          </w:p>
        </w:tc>
        <w:tc>
          <w:tcPr>
            <w:tcW w:w="1463" w:type="pct"/>
            <w:vAlign w:val="center"/>
          </w:tcPr>
          <w:p w14:paraId="7547567B">
            <w:pPr>
              <w:jc w:val="center"/>
              <w:rPr>
                <w:bCs/>
                <w:sz w:val="24"/>
              </w:rPr>
            </w:pPr>
          </w:p>
        </w:tc>
      </w:tr>
      <w:tr w14:paraId="08EE42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36" w:hRule="exact"/>
          <w:jc w:val="center"/>
        </w:trPr>
        <w:tc>
          <w:tcPr>
            <w:tcW w:w="501" w:type="pct"/>
            <w:vAlign w:val="center"/>
          </w:tcPr>
          <w:p w14:paraId="0A208A32">
            <w:pPr>
              <w:jc w:val="center"/>
              <w:rPr>
                <w:rFonts w:hint="eastAsia" w:ascii="宋体" w:hAnsi="宋体"/>
                <w:bCs/>
                <w:sz w:val="24"/>
              </w:rPr>
            </w:pPr>
            <w:r>
              <w:rPr>
                <w:rFonts w:ascii="宋体" w:hAnsi="宋体"/>
                <w:bCs/>
                <w:sz w:val="24"/>
              </w:rPr>
              <w:t>2</w:t>
            </w:r>
          </w:p>
        </w:tc>
        <w:tc>
          <w:tcPr>
            <w:tcW w:w="3036" w:type="pct"/>
            <w:vAlign w:val="center"/>
          </w:tcPr>
          <w:p w14:paraId="1D626733">
            <w:pPr>
              <w:jc w:val="center"/>
              <w:rPr>
                <w:bCs/>
                <w:sz w:val="24"/>
              </w:rPr>
            </w:pPr>
          </w:p>
        </w:tc>
        <w:tc>
          <w:tcPr>
            <w:tcW w:w="1463" w:type="pct"/>
            <w:vAlign w:val="center"/>
          </w:tcPr>
          <w:p w14:paraId="631DCA7E">
            <w:pPr>
              <w:jc w:val="center"/>
              <w:rPr>
                <w:bCs/>
                <w:sz w:val="24"/>
              </w:rPr>
            </w:pPr>
          </w:p>
        </w:tc>
      </w:tr>
      <w:tr w14:paraId="0EBE5B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36" w:hRule="exact"/>
          <w:jc w:val="center"/>
        </w:trPr>
        <w:tc>
          <w:tcPr>
            <w:tcW w:w="501" w:type="pct"/>
            <w:vAlign w:val="center"/>
          </w:tcPr>
          <w:p w14:paraId="376AC2BA">
            <w:pPr>
              <w:jc w:val="center"/>
              <w:rPr>
                <w:rFonts w:hint="eastAsia" w:ascii="宋体" w:hAnsi="宋体"/>
                <w:bCs/>
                <w:sz w:val="24"/>
              </w:rPr>
            </w:pPr>
            <w:r>
              <w:rPr>
                <w:rFonts w:ascii="宋体" w:hAnsi="宋体"/>
                <w:bCs/>
                <w:sz w:val="24"/>
              </w:rPr>
              <w:t>3</w:t>
            </w:r>
          </w:p>
        </w:tc>
        <w:tc>
          <w:tcPr>
            <w:tcW w:w="3036" w:type="pct"/>
            <w:vAlign w:val="center"/>
          </w:tcPr>
          <w:p w14:paraId="15BD26E6">
            <w:pPr>
              <w:jc w:val="center"/>
              <w:rPr>
                <w:bCs/>
                <w:sz w:val="24"/>
              </w:rPr>
            </w:pPr>
          </w:p>
        </w:tc>
        <w:tc>
          <w:tcPr>
            <w:tcW w:w="1463" w:type="pct"/>
            <w:vAlign w:val="center"/>
          </w:tcPr>
          <w:p w14:paraId="148A0A6B">
            <w:pPr>
              <w:jc w:val="center"/>
              <w:rPr>
                <w:bCs/>
                <w:sz w:val="24"/>
              </w:rPr>
            </w:pPr>
          </w:p>
        </w:tc>
      </w:tr>
      <w:tr w14:paraId="1C1603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36" w:hRule="exact"/>
          <w:jc w:val="center"/>
        </w:trPr>
        <w:tc>
          <w:tcPr>
            <w:tcW w:w="501" w:type="pct"/>
            <w:vAlign w:val="center"/>
          </w:tcPr>
          <w:p w14:paraId="37CBF2CA">
            <w:pPr>
              <w:jc w:val="center"/>
              <w:rPr>
                <w:rFonts w:hint="eastAsia" w:ascii="宋体" w:hAnsi="宋体"/>
                <w:bCs/>
                <w:sz w:val="24"/>
              </w:rPr>
            </w:pPr>
            <w:r>
              <w:rPr>
                <w:rFonts w:ascii="宋体" w:hAnsi="宋体"/>
                <w:bCs/>
                <w:sz w:val="24"/>
              </w:rPr>
              <w:t xml:space="preserve">4   </w:t>
            </w:r>
          </w:p>
        </w:tc>
        <w:tc>
          <w:tcPr>
            <w:tcW w:w="3036" w:type="pct"/>
            <w:vAlign w:val="center"/>
          </w:tcPr>
          <w:p w14:paraId="262E07CD">
            <w:pPr>
              <w:jc w:val="center"/>
              <w:rPr>
                <w:bCs/>
                <w:sz w:val="24"/>
              </w:rPr>
            </w:pPr>
          </w:p>
        </w:tc>
        <w:tc>
          <w:tcPr>
            <w:tcW w:w="1463" w:type="pct"/>
            <w:vAlign w:val="center"/>
          </w:tcPr>
          <w:p w14:paraId="4EEE03D6">
            <w:pPr>
              <w:jc w:val="center"/>
              <w:rPr>
                <w:bCs/>
                <w:sz w:val="24"/>
              </w:rPr>
            </w:pPr>
          </w:p>
        </w:tc>
      </w:tr>
      <w:tr w14:paraId="61E2FB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36" w:hRule="exact"/>
          <w:jc w:val="center"/>
        </w:trPr>
        <w:tc>
          <w:tcPr>
            <w:tcW w:w="501" w:type="pct"/>
            <w:vAlign w:val="center"/>
          </w:tcPr>
          <w:p w14:paraId="1398FDDD">
            <w:pPr>
              <w:jc w:val="center"/>
              <w:rPr>
                <w:bCs/>
                <w:sz w:val="24"/>
              </w:rPr>
            </w:pPr>
            <w:r>
              <w:rPr>
                <w:rFonts w:hint="eastAsia"/>
                <w:bCs/>
                <w:sz w:val="24"/>
              </w:rPr>
              <w:t>……</w:t>
            </w:r>
          </w:p>
        </w:tc>
        <w:tc>
          <w:tcPr>
            <w:tcW w:w="3036" w:type="pct"/>
            <w:vAlign w:val="center"/>
          </w:tcPr>
          <w:p w14:paraId="6F4FC938">
            <w:pPr>
              <w:jc w:val="center"/>
              <w:rPr>
                <w:bCs/>
                <w:sz w:val="24"/>
              </w:rPr>
            </w:pPr>
          </w:p>
        </w:tc>
        <w:tc>
          <w:tcPr>
            <w:tcW w:w="1463" w:type="pct"/>
            <w:vAlign w:val="center"/>
          </w:tcPr>
          <w:p w14:paraId="62E7638D">
            <w:pPr>
              <w:jc w:val="center"/>
              <w:rPr>
                <w:bCs/>
                <w:sz w:val="24"/>
              </w:rPr>
            </w:pPr>
          </w:p>
        </w:tc>
      </w:tr>
      <w:tr w14:paraId="0EEF6A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36" w:hRule="exact"/>
          <w:jc w:val="center"/>
        </w:trPr>
        <w:tc>
          <w:tcPr>
            <w:tcW w:w="501" w:type="pct"/>
            <w:vAlign w:val="center"/>
          </w:tcPr>
          <w:p w14:paraId="5BE89069">
            <w:pPr>
              <w:jc w:val="center"/>
              <w:rPr>
                <w:bCs/>
                <w:sz w:val="24"/>
              </w:rPr>
            </w:pPr>
          </w:p>
        </w:tc>
        <w:tc>
          <w:tcPr>
            <w:tcW w:w="3036" w:type="pct"/>
            <w:vAlign w:val="center"/>
          </w:tcPr>
          <w:p w14:paraId="03F90502">
            <w:pPr>
              <w:jc w:val="center"/>
              <w:rPr>
                <w:bCs/>
                <w:sz w:val="24"/>
              </w:rPr>
            </w:pPr>
          </w:p>
        </w:tc>
        <w:tc>
          <w:tcPr>
            <w:tcW w:w="1463" w:type="pct"/>
            <w:vAlign w:val="center"/>
          </w:tcPr>
          <w:p w14:paraId="0341D0AF">
            <w:pPr>
              <w:jc w:val="center"/>
              <w:rPr>
                <w:bCs/>
                <w:sz w:val="24"/>
              </w:rPr>
            </w:pPr>
          </w:p>
        </w:tc>
      </w:tr>
      <w:tr w14:paraId="5FE9FA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36" w:hRule="exact"/>
          <w:jc w:val="center"/>
        </w:trPr>
        <w:tc>
          <w:tcPr>
            <w:tcW w:w="501" w:type="pct"/>
            <w:vAlign w:val="center"/>
          </w:tcPr>
          <w:p w14:paraId="11D44D79">
            <w:pPr>
              <w:jc w:val="center"/>
              <w:rPr>
                <w:bCs/>
                <w:sz w:val="24"/>
              </w:rPr>
            </w:pPr>
          </w:p>
        </w:tc>
        <w:tc>
          <w:tcPr>
            <w:tcW w:w="3036" w:type="pct"/>
            <w:vAlign w:val="center"/>
          </w:tcPr>
          <w:p w14:paraId="18ACD734">
            <w:pPr>
              <w:jc w:val="center"/>
              <w:rPr>
                <w:bCs/>
                <w:sz w:val="24"/>
              </w:rPr>
            </w:pPr>
          </w:p>
        </w:tc>
        <w:tc>
          <w:tcPr>
            <w:tcW w:w="1463" w:type="pct"/>
            <w:vAlign w:val="center"/>
          </w:tcPr>
          <w:p w14:paraId="39C89ADE">
            <w:pPr>
              <w:jc w:val="center"/>
              <w:rPr>
                <w:bCs/>
                <w:sz w:val="24"/>
              </w:rPr>
            </w:pPr>
          </w:p>
        </w:tc>
      </w:tr>
      <w:tr w14:paraId="709433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36" w:hRule="exact"/>
          <w:jc w:val="center"/>
        </w:trPr>
        <w:tc>
          <w:tcPr>
            <w:tcW w:w="501" w:type="pct"/>
            <w:vAlign w:val="center"/>
          </w:tcPr>
          <w:p w14:paraId="2E31A37E">
            <w:pPr>
              <w:jc w:val="center"/>
              <w:rPr>
                <w:bCs/>
                <w:sz w:val="24"/>
              </w:rPr>
            </w:pPr>
          </w:p>
        </w:tc>
        <w:tc>
          <w:tcPr>
            <w:tcW w:w="3036" w:type="pct"/>
            <w:vAlign w:val="center"/>
          </w:tcPr>
          <w:p w14:paraId="4159EE7E">
            <w:pPr>
              <w:jc w:val="center"/>
              <w:rPr>
                <w:bCs/>
                <w:sz w:val="24"/>
              </w:rPr>
            </w:pPr>
          </w:p>
        </w:tc>
        <w:tc>
          <w:tcPr>
            <w:tcW w:w="1463" w:type="pct"/>
            <w:vAlign w:val="center"/>
          </w:tcPr>
          <w:p w14:paraId="321F29D2">
            <w:pPr>
              <w:jc w:val="center"/>
              <w:rPr>
                <w:bCs/>
                <w:sz w:val="24"/>
              </w:rPr>
            </w:pPr>
          </w:p>
        </w:tc>
      </w:tr>
      <w:tr w14:paraId="5056EC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85" w:hRule="exact"/>
          <w:jc w:val="center"/>
        </w:trPr>
        <w:tc>
          <w:tcPr>
            <w:tcW w:w="5000" w:type="pct"/>
            <w:gridSpan w:val="3"/>
            <w:vAlign w:val="center"/>
          </w:tcPr>
          <w:p w14:paraId="007B6585">
            <w:pPr>
              <w:rPr>
                <w:rFonts w:hint="eastAsia" w:ascii="宋体" w:hAnsi="宋体" w:cs="宋体"/>
                <w:sz w:val="24"/>
                <w:szCs w:val="24"/>
              </w:rPr>
            </w:pPr>
            <w:r>
              <w:rPr>
                <w:rFonts w:hint="eastAsia" w:ascii="宋体" w:hAnsi="宋体" w:cs="宋体"/>
                <w:sz w:val="24"/>
                <w:szCs w:val="24"/>
              </w:rPr>
              <w:t>备注：</w:t>
            </w:r>
          </w:p>
          <w:p w14:paraId="18F246A8">
            <w:pPr>
              <w:rPr>
                <w:rFonts w:hint="eastAsia" w:ascii="宋体" w:hAnsi="宋体" w:cs="宋体"/>
                <w:sz w:val="24"/>
                <w:szCs w:val="24"/>
              </w:rPr>
            </w:pPr>
            <w:r>
              <w:rPr>
                <w:rFonts w:hint="eastAsia" w:ascii="宋体" w:hAnsi="宋体" w:cs="宋体"/>
                <w:sz w:val="24"/>
                <w:szCs w:val="24"/>
              </w:rPr>
              <w:t>1.投标供应商按照《符合性审查表》编制此表。</w:t>
            </w:r>
          </w:p>
          <w:p w14:paraId="218D5C5F">
            <w:pPr>
              <w:rPr>
                <w:rFonts w:hint="eastAsia" w:ascii="宋体" w:hAnsi="宋体" w:cs="宋体"/>
                <w:sz w:val="24"/>
                <w:szCs w:val="24"/>
              </w:rPr>
            </w:pPr>
            <w:r>
              <w:rPr>
                <w:rFonts w:hint="eastAsia" w:ascii="宋体" w:hAnsi="宋体" w:cs="宋体"/>
                <w:sz w:val="24"/>
                <w:szCs w:val="24"/>
              </w:rPr>
              <w:t>2.投标供应商应当根据本单位实际情况和投标文件内容填写，并标注相关证明材料在资格证明文件的位置页码。</w:t>
            </w:r>
          </w:p>
          <w:p w14:paraId="471D7679">
            <w:pPr>
              <w:rPr>
                <w:bCs/>
                <w:sz w:val="24"/>
              </w:rPr>
            </w:pPr>
            <w:r>
              <w:rPr>
                <w:rFonts w:hint="eastAsia" w:ascii="宋体" w:hAnsi="宋体" w:cs="宋体"/>
                <w:sz w:val="24"/>
                <w:szCs w:val="24"/>
              </w:rPr>
              <w:t>3.投标供应商不得虚报、瞒报、漏报或虚假承诺。</w:t>
            </w:r>
          </w:p>
        </w:tc>
      </w:tr>
    </w:tbl>
    <w:p w14:paraId="31C9C7D5">
      <w:pPr>
        <w:autoSpaceDE w:val="0"/>
        <w:autoSpaceDN w:val="0"/>
        <w:adjustRightInd w:val="0"/>
        <w:jc w:val="center"/>
        <w:rPr>
          <w:rFonts w:hint="eastAsia" w:ascii="宋体" w:hAnsi="宋体" w:cs="宋体"/>
          <w:b/>
          <w:bCs/>
          <w:color w:val="000000"/>
          <w:sz w:val="28"/>
          <w:szCs w:val="28"/>
          <w:lang w:val="zh-CN"/>
        </w:rPr>
      </w:pPr>
    </w:p>
    <w:p w14:paraId="2503FF49">
      <w:pPr>
        <w:autoSpaceDE w:val="0"/>
        <w:autoSpaceDN w:val="0"/>
        <w:adjustRightInd w:val="0"/>
        <w:jc w:val="center"/>
        <w:rPr>
          <w:rFonts w:hint="eastAsia" w:ascii="宋体" w:hAnsi="宋体" w:cs="宋体"/>
          <w:b/>
          <w:bCs/>
          <w:color w:val="000000"/>
          <w:sz w:val="28"/>
          <w:szCs w:val="28"/>
          <w:lang w:val="zh-CN"/>
        </w:rPr>
      </w:pPr>
    </w:p>
    <w:p w14:paraId="2565633F">
      <w:pPr>
        <w:autoSpaceDE w:val="0"/>
        <w:autoSpaceDN w:val="0"/>
        <w:adjustRightInd w:val="0"/>
        <w:jc w:val="center"/>
        <w:rPr>
          <w:rFonts w:hint="eastAsia" w:ascii="宋体" w:hAnsi="宋体" w:cs="宋体"/>
          <w:b/>
          <w:bCs/>
          <w:color w:val="000000"/>
          <w:sz w:val="28"/>
          <w:szCs w:val="28"/>
          <w:lang w:val="zh-CN"/>
        </w:rPr>
      </w:pPr>
    </w:p>
    <w:p w14:paraId="3D9D258E">
      <w:pPr>
        <w:autoSpaceDE w:val="0"/>
        <w:autoSpaceDN w:val="0"/>
        <w:adjustRightInd w:val="0"/>
        <w:jc w:val="center"/>
        <w:rPr>
          <w:rFonts w:hint="eastAsia" w:ascii="宋体" w:hAnsi="宋体" w:cs="宋体"/>
          <w:b/>
          <w:bCs/>
          <w:color w:val="000000"/>
          <w:sz w:val="28"/>
          <w:szCs w:val="28"/>
          <w:lang w:val="zh-CN"/>
        </w:rPr>
      </w:pPr>
    </w:p>
    <w:p w14:paraId="50B67EDE">
      <w:pPr>
        <w:spacing w:before="245" w:beforeLines="50" w:after="245" w:afterLines="50" w:line="560" w:lineRule="exact"/>
        <w:jc w:val="center"/>
        <w:rPr>
          <w:rFonts w:hint="eastAsia" w:ascii="宋体" w:hAnsi="宋体" w:cs="宋体"/>
          <w:b/>
          <w:sz w:val="24"/>
          <w:szCs w:val="24"/>
        </w:rPr>
      </w:pPr>
      <w:r>
        <w:rPr>
          <w:rFonts w:hint="eastAsia" w:ascii="宋体" w:hAnsi="宋体" w:cs="宋体"/>
          <w:b/>
          <w:sz w:val="24"/>
          <w:szCs w:val="24"/>
        </w:rPr>
        <w:t>商务和技术评审索引表</w:t>
      </w:r>
    </w:p>
    <w:p w14:paraId="042DF307">
      <w:pPr>
        <w:spacing w:line="400" w:lineRule="exact"/>
        <w:rPr>
          <w:rFonts w:hint="eastAsia" w:ascii="宋体" w:hAnsi="宋体" w:cs="宋体"/>
          <w:bCs/>
          <w:sz w:val="24"/>
          <w:szCs w:val="24"/>
        </w:rPr>
      </w:pPr>
      <w:r>
        <w:rPr>
          <w:rFonts w:hint="eastAsia" w:ascii="宋体" w:hAnsi="宋体" w:cs="宋体"/>
          <w:bCs/>
          <w:sz w:val="24"/>
          <w:szCs w:val="24"/>
        </w:rPr>
        <w:t>投标供应商务必在商务和技术文件正文前制作本索引表。</w:t>
      </w:r>
    </w:p>
    <w:tbl>
      <w:tblPr>
        <w:tblStyle w:val="21"/>
        <w:tblW w:w="4982" w:type="pct"/>
        <w:jc w:val="center"/>
        <w:tblLayout w:type="autofit"/>
        <w:tblCellMar>
          <w:top w:w="0" w:type="dxa"/>
          <w:left w:w="108" w:type="dxa"/>
          <w:bottom w:w="0" w:type="dxa"/>
          <w:right w:w="108" w:type="dxa"/>
        </w:tblCellMar>
      </w:tblPr>
      <w:tblGrid>
        <w:gridCol w:w="1380"/>
        <w:gridCol w:w="6519"/>
        <w:gridCol w:w="2027"/>
      </w:tblGrid>
      <w:tr w14:paraId="0CC03948">
        <w:tblPrEx>
          <w:tblCellMar>
            <w:top w:w="0" w:type="dxa"/>
            <w:left w:w="108" w:type="dxa"/>
            <w:bottom w:w="0" w:type="dxa"/>
            <w:right w:w="108" w:type="dxa"/>
          </w:tblCellMar>
        </w:tblPrEx>
        <w:trPr>
          <w:trHeight w:val="680" w:hRule="atLeast"/>
          <w:jc w:val="center"/>
        </w:trPr>
        <w:tc>
          <w:tcPr>
            <w:tcW w:w="695" w:type="pct"/>
            <w:tcBorders>
              <w:top w:val="single" w:color="auto" w:sz="4" w:space="0"/>
              <w:left w:val="single" w:color="auto" w:sz="4" w:space="0"/>
              <w:bottom w:val="single" w:color="auto" w:sz="4" w:space="0"/>
              <w:right w:val="single" w:color="auto" w:sz="4" w:space="0"/>
            </w:tcBorders>
            <w:vAlign w:val="center"/>
          </w:tcPr>
          <w:p w14:paraId="71D107FD">
            <w:pPr>
              <w:jc w:val="center"/>
              <w:rPr>
                <w:rFonts w:hint="eastAsia" w:ascii="宋体" w:hAnsi="宋体" w:cs="宋体"/>
                <w:bCs/>
                <w:sz w:val="24"/>
                <w:szCs w:val="24"/>
              </w:rPr>
            </w:pPr>
            <w:r>
              <w:rPr>
                <w:rFonts w:hint="eastAsia" w:ascii="宋体" w:hAnsi="宋体" w:cs="宋体"/>
                <w:bCs/>
                <w:sz w:val="24"/>
                <w:szCs w:val="24"/>
              </w:rPr>
              <w:t>序号</w:t>
            </w:r>
          </w:p>
        </w:tc>
        <w:tc>
          <w:tcPr>
            <w:tcW w:w="3284" w:type="pct"/>
            <w:tcBorders>
              <w:top w:val="single" w:color="auto" w:sz="4" w:space="0"/>
              <w:left w:val="nil"/>
              <w:bottom w:val="single" w:color="auto" w:sz="4" w:space="0"/>
              <w:right w:val="single" w:color="auto" w:sz="4" w:space="0"/>
            </w:tcBorders>
            <w:vAlign w:val="center"/>
          </w:tcPr>
          <w:p w14:paraId="7B2C7ACE">
            <w:pPr>
              <w:jc w:val="center"/>
              <w:rPr>
                <w:rFonts w:hint="eastAsia" w:ascii="宋体" w:hAnsi="宋体" w:cs="宋体"/>
                <w:bCs/>
                <w:sz w:val="24"/>
                <w:szCs w:val="24"/>
              </w:rPr>
            </w:pPr>
            <w:r>
              <w:rPr>
                <w:rFonts w:hint="eastAsia" w:ascii="宋体" w:hAnsi="宋体" w:cs="宋体"/>
                <w:bCs/>
                <w:sz w:val="24"/>
                <w:szCs w:val="24"/>
              </w:rPr>
              <w:t>评审项目</w:t>
            </w:r>
          </w:p>
        </w:tc>
        <w:tc>
          <w:tcPr>
            <w:tcW w:w="1020" w:type="pct"/>
            <w:tcBorders>
              <w:top w:val="single" w:color="auto" w:sz="4" w:space="0"/>
              <w:left w:val="nil"/>
              <w:bottom w:val="single" w:color="auto" w:sz="4" w:space="0"/>
              <w:right w:val="single" w:color="auto" w:sz="4" w:space="0"/>
            </w:tcBorders>
            <w:vAlign w:val="center"/>
          </w:tcPr>
          <w:p w14:paraId="74702173">
            <w:pPr>
              <w:jc w:val="center"/>
              <w:rPr>
                <w:rFonts w:hint="eastAsia" w:ascii="宋体" w:hAnsi="宋体" w:cs="宋体"/>
                <w:bCs/>
                <w:sz w:val="24"/>
                <w:szCs w:val="24"/>
              </w:rPr>
            </w:pPr>
            <w:r>
              <w:rPr>
                <w:rFonts w:hint="eastAsia" w:ascii="宋体" w:hAnsi="宋体" w:cs="宋体"/>
                <w:bCs/>
                <w:sz w:val="24"/>
                <w:szCs w:val="24"/>
              </w:rPr>
              <w:t>文件名称∕页码</w:t>
            </w:r>
          </w:p>
        </w:tc>
      </w:tr>
      <w:tr w14:paraId="22DF7E4C">
        <w:tblPrEx>
          <w:tblCellMar>
            <w:top w:w="0" w:type="dxa"/>
            <w:left w:w="108" w:type="dxa"/>
            <w:bottom w:w="0" w:type="dxa"/>
            <w:right w:w="108" w:type="dxa"/>
          </w:tblCellMar>
        </w:tblPrEx>
        <w:trPr>
          <w:trHeight w:val="680" w:hRule="atLeast"/>
          <w:jc w:val="center"/>
        </w:trPr>
        <w:tc>
          <w:tcPr>
            <w:tcW w:w="695" w:type="pct"/>
            <w:tcBorders>
              <w:top w:val="nil"/>
              <w:left w:val="single" w:color="auto" w:sz="4" w:space="0"/>
              <w:bottom w:val="single" w:color="auto" w:sz="4" w:space="0"/>
              <w:right w:val="single" w:color="auto" w:sz="4" w:space="0"/>
            </w:tcBorders>
            <w:vAlign w:val="center"/>
          </w:tcPr>
          <w:p w14:paraId="4562466A">
            <w:pPr>
              <w:jc w:val="center"/>
              <w:rPr>
                <w:rFonts w:hint="eastAsia" w:ascii="宋体" w:hAnsi="宋体" w:cs="宋体"/>
                <w:bCs/>
                <w:sz w:val="24"/>
                <w:szCs w:val="24"/>
              </w:rPr>
            </w:pPr>
            <w:r>
              <w:rPr>
                <w:rFonts w:hint="eastAsia" w:ascii="宋体" w:hAnsi="宋体" w:cs="宋体"/>
                <w:bCs/>
                <w:sz w:val="24"/>
                <w:szCs w:val="24"/>
              </w:rPr>
              <w:t>1</w:t>
            </w:r>
          </w:p>
        </w:tc>
        <w:tc>
          <w:tcPr>
            <w:tcW w:w="3284" w:type="pct"/>
            <w:tcBorders>
              <w:top w:val="nil"/>
              <w:left w:val="nil"/>
              <w:bottom w:val="single" w:color="auto" w:sz="4" w:space="0"/>
              <w:right w:val="single" w:color="auto" w:sz="4" w:space="0"/>
            </w:tcBorders>
            <w:vAlign w:val="center"/>
          </w:tcPr>
          <w:p w14:paraId="66342061">
            <w:pPr>
              <w:jc w:val="center"/>
              <w:rPr>
                <w:rFonts w:hint="eastAsia" w:ascii="宋体" w:hAnsi="宋体" w:cs="宋体"/>
                <w:bCs/>
                <w:sz w:val="24"/>
                <w:szCs w:val="24"/>
              </w:rPr>
            </w:pPr>
            <w:r>
              <w:rPr>
                <w:rFonts w:hint="eastAsia" w:ascii="宋体" w:hAnsi="宋体" w:cs="宋体"/>
                <w:bCs/>
                <w:sz w:val="24"/>
                <w:szCs w:val="24"/>
              </w:rPr>
              <w:t>指标1</w:t>
            </w:r>
          </w:p>
        </w:tc>
        <w:tc>
          <w:tcPr>
            <w:tcW w:w="1020" w:type="pct"/>
            <w:tcBorders>
              <w:top w:val="single" w:color="auto" w:sz="4" w:space="0"/>
              <w:left w:val="nil"/>
              <w:bottom w:val="single" w:color="auto" w:sz="4" w:space="0"/>
              <w:right w:val="single" w:color="auto" w:sz="4" w:space="0"/>
            </w:tcBorders>
            <w:vAlign w:val="center"/>
          </w:tcPr>
          <w:p w14:paraId="78CB1B33">
            <w:pPr>
              <w:jc w:val="center"/>
              <w:rPr>
                <w:rFonts w:hint="eastAsia" w:ascii="宋体" w:hAnsi="宋体" w:cs="宋体"/>
                <w:bCs/>
                <w:sz w:val="24"/>
                <w:szCs w:val="24"/>
              </w:rPr>
            </w:pPr>
          </w:p>
        </w:tc>
      </w:tr>
      <w:tr w14:paraId="03CE6637">
        <w:tblPrEx>
          <w:tblCellMar>
            <w:top w:w="0" w:type="dxa"/>
            <w:left w:w="108" w:type="dxa"/>
            <w:bottom w:w="0" w:type="dxa"/>
            <w:right w:w="108" w:type="dxa"/>
          </w:tblCellMar>
        </w:tblPrEx>
        <w:trPr>
          <w:trHeight w:val="680" w:hRule="atLeast"/>
          <w:jc w:val="center"/>
        </w:trPr>
        <w:tc>
          <w:tcPr>
            <w:tcW w:w="695" w:type="pct"/>
            <w:tcBorders>
              <w:top w:val="nil"/>
              <w:left w:val="single" w:color="auto" w:sz="4" w:space="0"/>
              <w:bottom w:val="single" w:color="auto" w:sz="4" w:space="0"/>
              <w:right w:val="single" w:color="auto" w:sz="4" w:space="0"/>
            </w:tcBorders>
            <w:vAlign w:val="center"/>
          </w:tcPr>
          <w:p w14:paraId="72FCEC5E">
            <w:pPr>
              <w:jc w:val="center"/>
              <w:rPr>
                <w:rFonts w:hint="eastAsia" w:ascii="宋体" w:hAnsi="宋体" w:cs="宋体"/>
                <w:bCs/>
                <w:sz w:val="24"/>
                <w:szCs w:val="24"/>
              </w:rPr>
            </w:pPr>
            <w:r>
              <w:rPr>
                <w:rFonts w:hint="eastAsia" w:ascii="宋体" w:hAnsi="宋体" w:cs="宋体"/>
                <w:bCs/>
                <w:sz w:val="24"/>
                <w:szCs w:val="24"/>
              </w:rPr>
              <w:t>2</w:t>
            </w:r>
          </w:p>
        </w:tc>
        <w:tc>
          <w:tcPr>
            <w:tcW w:w="3284" w:type="pct"/>
            <w:tcBorders>
              <w:top w:val="nil"/>
              <w:left w:val="nil"/>
              <w:bottom w:val="single" w:color="auto" w:sz="4" w:space="0"/>
              <w:right w:val="single" w:color="auto" w:sz="4" w:space="0"/>
            </w:tcBorders>
            <w:vAlign w:val="center"/>
          </w:tcPr>
          <w:p w14:paraId="6C04CC47">
            <w:pPr>
              <w:jc w:val="center"/>
              <w:rPr>
                <w:rFonts w:hint="eastAsia" w:ascii="宋体" w:hAnsi="宋体" w:cs="宋体"/>
                <w:bCs/>
                <w:sz w:val="24"/>
                <w:szCs w:val="24"/>
              </w:rPr>
            </w:pPr>
            <w:r>
              <w:rPr>
                <w:rFonts w:hint="eastAsia" w:ascii="宋体" w:hAnsi="宋体" w:cs="宋体"/>
                <w:bCs/>
                <w:sz w:val="24"/>
                <w:szCs w:val="24"/>
              </w:rPr>
              <w:t>指标2</w:t>
            </w:r>
          </w:p>
        </w:tc>
        <w:tc>
          <w:tcPr>
            <w:tcW w:w="1020" w:type="pct"/>
            <w:tcBorders>
              <w:top w:val="single" w:color="auto" w:sz="4" w:space="0"/>
              <w:left w:val="nil"/>
              <w:bottom w:val="single" w:color="auto" w:sz="4" w:space="0"/>
              <w:right w:val="single" w:color="auto" w:sz="4" w:space="0"/>
            </w:tcBorders>
            <w:vAlign w:val="center"/>
          </w:tcPr>
          <w:p w14:paraId="0F1DC2FF">
            <w:pPr>
              <w:jc w:val="center"/>
              <w:rPr>
                <w:rFonts w:hint="eastAsia" w:ascii="宋体" w:hAnsi="宋体" w:cs="宋体"/>
                <w:bCs/>
                <w:sz w:val="24"/>
                <w:szCs w:val="24"/>
              </w:rPr>
            </w:pPr>
          </w:p>
        </w:tc>
      </w:tr>
      <w:tr w14:paraId="49D343B5">
        <w:tblPrEx>
          <w:tblCellMar>
            <w:top w:w="0" w:type="dxa"/>
            <w:left w:w="108" w:type="dxa"/>
            <w:bottom w:w="0" w:type="dxa"/>
            <w:right w:w="108" w:type="dxa"/>
          </w:tblCellMar>
        </w:tblPrEx>
        <w:trPr>
          <w:trHeight w:val="680" w:hRule="atLeast"/>
          <w:jc w:val="center"/>
        </w:trPr>
        <w:tc>
          <w:tcPr>
            <w:tcW w:w="695" w:type="pct"/>
            <w:tcBorders>
              <w:top w:val="nil"/>
              <w:left w:val="single" w:color="auto" w:sz="4" w:space="0"/>
              <w:bottom w:val="single" w:color="auto" w:sz="4" w:space="0"/>
              <w:right w:val="single" w:color="auto" w:sz="4" w:space="0"/>
            </w:tcBorders>
            <w:vAlign w:val="center"/>
          </w:tcPr>
          <w:p w14:paraId="2033FA97">
            <w:pPr>
              <w:jc w:val="center"/>
              <w:rPr>
                <w:rFonts w:hint="eastAsia" w:ascii="宋体" w:hAnsi="宋体" w:cs="宋体"/>
                <w:bCs/>
                <w:sz w:val="24"/>
                <w:szCs w:val="24"/>
              </w:rPr>
            </w:pPr>
            <w:r>
              <w:rPr>
                <w:rFonts w:hint="eastAsia" w:ascii="宋体" w:hAnsi="宋体" w:cs="宋体"/>
                <w:bCs/>
                <w:sz w:val="24"/>
                <w:szCs w:val="24"/>
              </w:rPr>
              <w:t>3</w:t>
            </w:r>
          </w:p>
        </w:tc>
        <w:tc>
          <w:tcPr>
            <w:tcW w:w="3284" w:type="pct"/>
            <w:tcBorders>
              <w:top w:val="nil"/>
              <w:left w:val="nil"/>
              <w:bottom w:val="single" w:color="auto" w:sz="4" w:space="0"/>
              <w:right w:val="single" w:color="auto" w:sz="4" w:space="0"/>
            </w:tcBorders>
            <w:vAlign w:val="center"/>
          </w:tcPr>
          <w:p w14:paraId="05212596">
            <w:pPr>
              <w:jc w:val="center"/>
              <w:rPr>
                <w:rFonts w:hint="eastAsia" w:ascii="宋体" w:hAnsi="宋体" w:cs="宋体"/>
                <w:bCs/>
                <w:sz w:val="24"/>
                <w:szCs w:val="24"/>
              </w:rPr>
            </w:pPr>
            <w:r>
              <w:rPr>
                <w:rFonts w:hint="eastAsia" w:ascii="宋体" w:hAnsi="宋体" w:cs="宋体"/>
                <w:bCs/>
                <w:sz w:val="24"/>
                <w:szCs w:val="24"/>
              </w:rPr>
              <w:t>指标3</w:t>
            </w:r>
          </w:p>
        </w:tc>
        <w:tc>
          <w:tcPr>
            <w:tcW w:w="1020" w:type="pct"/>
            <w:tcBorders>
              <w:top w:val="single" w:color="auto" w:sz="4" w:space="0"/>
              <w:left w:val="nil"/>
              <w:bottom w:val="single" w:color="auto" w:sz="4" w:space="0"/>
              <w:right w:val="single" w:color="auto" w:sz="4" w:space="0"/>
            </w:tcBorders>
            <w:vAlign w:val="center"/>
          </w:tcPr>
          <w:p w14:paraId="63AB9DD8">
            <w:pPr>
              <w:jc w:val="center"/>
              <w:rPr>
                <w:rFonts w:hint="eastAsia" w:ascii="宋体" w:hAnsi="宋体" w:cs="宋体"/>
                <w:bCs/>
                <w:sz w:val="24"/>
                <w:szCs w:val="24"/>
              </w:rPr>
            </w:pPr>
          </w:p>
        </w:tc>
      </w:tr>
      <w:tr w14:paraId="728E5500">
        <w:tblPrEx>
          <w:tblCellMar>
            <w:top w:w="0" w:type="dxa"/>
            <w:left w:w="108" w:type="dxa"/>
            <w:bottom w:w="0" w:type="dxa"/>
            <w:right w:w="108" w:type="dxa"/>
          </w:tblCellMar>
        </w:tblPrEx>
        <w:trPr>
          <w:trHeight w:val="680" w:hRule="atLeast"/>
          <w:jc w:val="center"/>
        </w:trPr>
        <w:tc>
          <w:tcPr>
            <w:tcW w:w="695" w:type="pct"/>
            <w:tcBorders>
              <w:top w:val="nil"/>
              <w:left w:val="single" w:color="auto" w:sz="4" w:space="0"/>
              <w:bottom w:val="single" w:color="auto" w:sz="4" w:space="0"/>
              <w:right w:val="single" w:color="auto" w:sz="4" w:space="0"/>
            </w:tcBorders>
            <w:vAlign w:val="center"/>
          </w:tcPr>
          <w:p w14:paraId="48D9413B">
            <w:pPr>
              <w:jc w:val="center"/>
              <w:rPr>
                <w:rFonts w:hint="eastAsia" w:ascii="宋体" w:hAnsi="宋体" w:cs="宋体"/>
                <w:bCs/>
                <w:sz w:val="24"/>
                <w:szCs w:val="24"/>
              </w:rPr>
            </w:pPr>
            <w:r>
              <w:rPr>
                <w:rFonts w:hint="eastAsia" w:ascii="宋体" w:hAnsi="宋体" w:cs="宋体"/>
                <w:bCs/>
                <w:sz w:val="24"/>
                <w:szCs w:val="24"/>
              </w:rPr>
              <w:t>……</w:t>
            </w:r>
          </w:p>
        </w:tc>
        <w:tc>
          <w:tcPr>
            <w:tcW w:w="3284" w:type="pct"/>
            <w:tcBorders>
              <w:top w:val="nil"/>
              <w:left w:val="nil"/>
              <w:bottom w:val="single" w:color="auto" w:sz="4" w:space="0"/>
              <w:right w:val="single" w:color="auto" w:sz="4" w:space="0"/>
            </w:tcBorders>
            <w:vAlign w:val="center"/>
          </w:tcPr>
          <w:p w14:paraId="51A86367">
            <w:pPr>
              <w:jc w:val="center"/>
              <w:rPr>
                <w:rFonts w:hint="eastAsia" w:ascii="宋体" w:hAnsi="宋体" w:cs="宋体"/>
                <w:bCs/>
                <w:sz w:val="24"/>
                <w:szCs w:val="24"/>
              </w:rPr>
            </w:pPr>
            <w:r>
              <w:rPr>
                <w:rFonts w:hint="eastAsia" w:ascii="宋体" w:hAnsi="宋体" w:cs="宋体"/>
                <w:bCs/>
                <w:sz w:val="24"/>
                <w:szCs w:val="24"/>
              </w:rPr>
              <w:t>……</w:t>
            </w:r>
          </w:p>
        </w:tc>
        <w:tc>
          <w:tcPr>
            <w:tcW w:w="1020" w:type="pct"/>
            <w:tcBorders>
              <w:top w:val="single" w:color="auto" w:sz="4" w:space="0"/>
              <w:left w:val="nil"/>
              <w:bottom w:val="single" w:color="auto" w:sz="4" w:space="0"/>
              <w:right w:val="single" w:color="auto" w:sz="4" w:space="0"/>
            </w:tcBorders>
            <w:vAlign w:val="center"/>
          </w:tcPr>
          <w:p w14:paraId="43FA40A2">
            <w:pPr>
              <w:jc w:val="center"/>
              <w:rPr>
                <w:rFonts w:hint="eastAsia" w:ascii="宋体" w:hAnsi="宋体" w:cs="宋体"/>
                <w:bCs/>
                <w:sz w:val="24"/>
                <w:szCs w:val="24"/>
              </w:rPr>
            </w:pPr>
          </w:p>
        </w:tc>
      </w:tr>
      <w:tr w14:paraId="48A20C6B">
        <w:tblPrEx>
          <w:tblCellMar>
            <w:top w:w="0" w:type="dxa"/>
            <w:left w:w="108" w:type="dxa"/>
            <w:bottom w:w="0" w:type="dxa"/>
            <w:right w:w="108" w:type="dxa"/>
          </w:tblCellMar>
        </w:tblPrEx>
        <w:trPr>
          <w:trHeight w:val="680" w:hRule="atLeast"/>
          <w:jc w:val="center"/>
        </w:trPr>
        <w:tc>
          <w:tcPr>
            <w:tcW w:w="695" w:type="pct"/>
            <w:tcBorders>
              <w:top w:val="nil"/>
              <w:left w:val="single" w:color="auto" w:sz="4" w:space="0"/>
              <w:bottom w:val="single" w:color="auto" w:sz="4" w:space="0"/>
              <w:right w:val="single" w:color="auto" w:sz="4" w:space="0"/>
            </w:tcBorders>
            <w:vAlign w:val="center"/>
          </w:tcPr>
          <w:p w14:paraId="595FCC25">
            <w:pPr>
              <w:jc w:val="center"/>
              <w:rPr>
                <w:rFonts w:hint="eastAsia" w:ascii="宋体" w:hAnsi="宋体" w:cs="宋体"/>
                <w:bCs/>
                <w:sz w:val="24"/>
                <w:szCs w:val="24"/>
              </w:rPr>
            </w:pPr>
          </w:p>
        </w:tc>
        <w:tc>
          <w:tcPr>
            <w:tcW w:w="3284" w:type="pct"/>
            <w:tcBorders>
              <w:top w:val="nil"/>
              <w:left w:val="nil"/>
              <w:bottom w:val="single" w:color="auto" w:sz="4" w:space="0"/>
              <w:right w:val="single" w:color="auto" w:sz="4" w:space="0"/>
            </w:tcBorders>
            <w:vAlign w:val="center"/>
          </w:tcPr>
          <w:p w14:paraId="4B279E0D">
            <w:pPr>
              <w:jc w:val="center"/>
              <w:rPr>
                <w:rFonts w:hint="eastAsia" w:ascii="宋体" w:hAnsi="宋体" w:cs="宋体"/>
                <w:bCs/>
                <w:sz w:val="24"/>
                <w:szCs w:val="24"/>
              </w:rPr>
            </w:pPr>
          </w:p>
        </w:tc>
        <w:tc>
          <w:tcPr>
            <w:tcW w:w="1020" w:type="pct"/>
            <w:tcBorders>
              <w:top w:val="single" w:color="auto" w:sz="4" w:space="0"/>
              <w:left w:val="nil"/>
              <w:bottom w:val="single" w:color="auto" w:sz="4" w:space="0"/>
              <w:right w:val="single" w:color="auto" w:sz="4" w:space="0"/>
            </w:tcBorders>
            <w:vAlign w:val="center"/>
          </w:tcPr>
          <w:p w14:paraId="49E7472B">
            <w:pPr>
              <w:jc w:val="center"/>
              <w:rPr>
                <w:rFonts w:hint="eastAsia" w:ascii="宋体" w:hAnsi="宋体" w:cs="宋体"/>
                <w:bCs/>
                <w:sz w:val="24"/>
                <w:szCs w:val="24"/>
              </w:rPr>
            </w:pPr>
          </w:p>
        </w:tc>
      </w:tr>
      <w:tr w14:paraId="45416397">
        <w:tblPrEx>
          <w:tblCellMar>
            <w:top w:w="0" w:type="dxa"/>
            <w:left w:w="108" w:type="dxa"/>
            <w:bottom w:w="0" w:type="dxa"/>
            <w:right w:w="108" w:type="dxa"/>
          </w:tblCellMar>
        </w:tblPrEx>
        <w:trPr>
          <w:trHeight w:val="680" w:hRule="atLeast"/>
          <w:jc w:val="center"/>
        </w:trPr>
        <w:tc>
          <w:tcPr>
            <w:tcW w:w="695" w:type="pct"/>
            <w:tcBorders>
              <w:top w:val="nil"/>
              <w:left w:val="single" w:color="auto" w:sz="4" w:space="0"/>
              <w:bottom w:val="single" w:color="auto" w:sz="4" w:space="0"/>
              <w:right w:val="single" w:color="auto" w:sz="4" w:space="0"/>
            </w:tcBorders>
            <w:vAlign w:val="center"/>
          </w:tcPr>
          <w:p w14:paraId="0BC34FDF">
            <w:pPr>
              <w:jc w:val="center"/>
              <w:rPr>
                <w:rFonts w:hint="eastAsia" w:ascii="宋体" w:hAnsi="宋体" w:cs="宋体"/>
                <w:bCs/>
                <w:sz w:val="24"/>
                <w:szCs w:val="24"/>
              </w:rPr>
            </w:pPr>
          </w:p>
        </w:tc>
        <w:tc>
          <w:tcPr>
            <w:tcW w:w="3284" w:type="pct"/>
            <w:tcBorders>
              <w:top w:val="nil"/>
              <w:left w:val="nil"/>
              <w:bottom w:val="single" w:color="auto" w:sz="4" w:space="0"/>
              <w:right w:val="single" w:color="auto" w:sz="4" w:space="0"/>
            </w:tcBorders>
            <w:vAlign w:val="center"/>
          </w:tcPr>
          <w:p w14:paraId="5EDBE02C">
            <w:pPr>
              <w:jc w:val="center"/>
              <w:rPr>
                <w:rFonts w:hint="eastAsia" w:ascii="宋体" w:hAnsi="宋体" w:cs="宋体"/>
                <w:bCs/>
                <w:sz w:val="24"/>
                <w:szCs w:val="24"/>
              </w:rPr>
            </w:pPr>
          </w:p>
        </w:tc>
        <w:tc>
          <w:tcPr>
            <w:tcW w:w="1020" w:type="pct"/>
            <w:tcBorders>
              <w:top w:val="single" w:color="auto" w:sz="4" w:space="0"/>
              <w:left w:val="nil"/>
              <w:bottom w:val="single" w:color="auto" w:sz="4" w:space="0"/>
              <w:right w:val="single" w:color="auto" w:sz="4" w:space="0"/>
            </w:tcBorders>
            <w:vAlign w:val="center"/>
          </w:tcPr>
          <w:p w14:paraId="3433E0BC">
            <w:pPr>
              <w:jc w:val="center"/>
              <w:rPr>
                <w:rFonts w:hint="eastAsia" w:ascii="宋体" w:hAnsi="宋体" w:cs="宋体"/>
                <w:bCs/>
                <w:sz w:val="24"/>
                <w:szCs w:val="24"/>
              </w:rPr>
            </w:pPr>
          </w:p>
        </w:tc>
      </w:tr>
      <w:tr w14:paraId="37570B99">
        <w:tblPrEx>
          <w:tblCellMar>
            <w:top w:w="0" w:type="dxa"/>
            <w:left w:w="108" w:type="dxa"/>
            <w:bottom w:w="0" w:type="dxa"/>
            <w:right w:w="108" w:type="dxa"/>
          </w:tblCellMar>
        </w:tblPrEx>
        <w:trPr>
          <w:trHeight w:val="680" w:hRule="atLeast"/>
          <w:jc w:val="center"/>
        </w:trPr>
        <w:tc>
          <w:tcPr>
            <w:tcW w:w="695" w:type="pct"/>
            <w:tcBorders>
              <w:top w:val="single" w:color="auto" w:sz="4" w:space="0"/>
              <w:left w:val="single" w:color="auto" w:sz="4" w:space="0"/>
              <w:bottom w:val="single" w:color="auto" w:sz="4" w:space="0"/>
              <w:right w:val="single" w:color="auto" w:sz="4" w:space="0"/>
            </w:tcBorders>
            <w:vAlign w:val="center"/>
          </w:tcPr>
          <w:p w14:paraId="789662C8">
            <w:pPr>
              <w:jc w:val="center"/>
              <w:rPr>
                <w:rFonts w:hint="eastAsia" w:ascii="宋体" w:hAnsi="宋体" w:cs="宋体"/>
                <w:bCs/>
                <w:sz w:val="24"/>
                <w:szCs w:val="24"/>
              </w:rPr>
            </w:pPr>
          </w:p>
        </w:tc>
        <w:tc>
          <w:tcPr>
            <w:tcW w:w="3284" w:type="pct"/>
            <w:tcBorders>
              <w:top w:val="single" w:color="auto" w:sz="4" w:space="0"/>
              <w:left w:val="nil"/>
              <w:bottom w:val="single" w:color="auto" w:sz="4" w:space="0"/>
              <w:right w:val="single" w:color="auto" w:sz="4" w:space="0"/>
            </w:tcBorders>
            <w:vAlign w:val="center"/>
          </w:tcPr>
          <w:p w14:paraId="3C588513">
            <w:pPr>
              <w:jc w:val="center"/>
              <w:rPr>
                <w:rFonts w:hint="eastAsia" w:ascii="宋体" w:hAnsi="宋体" w:cs="宋体"/>
                <w:bCs/>
                <w:sz w:val="24"/>
                <w:szCs w:val="24"/>
              </w:rPr>
            </w:pPr>
          </w:p>
        </w:tc>
        <w:tc>
          <w:tcPr>
            <w:tcW w:w="1020" w:type="pct"/>
            <w:tcBorders>
              <w:top w:val="single" w:color="auto" w:sz="4" w:space="0"/>
              <w:left w:val="nil"/>
              <w:bottom w:val="single" w:color="auto" w:sz="4" w:space="0"/>
              <w:right w:val="single" w:color="auto" w:sz="4" w:space="0"/>
            </w:tcBorders>
            <w:vAlign w:val="center"/>
          </w:tcPr>
          <w:p w14:paraId="2AF5EB77">
            <w:pPr>
              <w:jc w:val="center"/>
              <w:rPr>
                <w:rFonts w:hint="eastAsia" w:ascii="宋体" w:hAnsi="宋体" w:cs="宋体"/>
                <w:bCs/>
                <w:sz w:val="24"/>
                <w:szCs w:val="24"/>
              </w:rPr>
            </w:pPr>
          </w:p>
        </w:tc>
      </w:tr>
      <w:tr w14:paraId="75944637">
        <w:tblPrEx>
          <w:tblCellMar>
            <w:top w:w="0" w:type="dxa"/>
            <w:left w:w="108" w:type="dxa"/>
            <w:bottom w:w="0" w:type="dxa"/>
            <w:right w:w="108" w:type="dxa"/>
          </w:tblCellMar>
        </w:tblPrEx>
        <w:trPr>
          <w:trHeight w:val="680" w:hRule="atLeast"/>
          <w:jc w:val="center"/>
        </w:trPr>
        <w:tc>
          <w:tcPr>
            <w:tcW w:w="695" w:type="pct"/>
            <w:tcBorders>
              <w:top w:val="single" w:color="auto" w:sz="4" w:space="0"/>
              <w:left w:val="single" w:color="auto" w:sz="4" w:space="0"/>
              <w:bottom w:val="single" w:color="auto" w:sz="4" w:space="0"/>
              <w:right w:val="single" w:color="auto" w:sz="4" w:space="0"/>
            </w:tcBorders>
            <w:vAlign w:val="center"/>
          </w:tcPr>
          <w:p w14:paraId="2164BE7B">
            <w:pPr>
              <w:jc w:val="center"/>
              <w:rPr>
                <w:rFonts w:hint="eastAsia" w:ascii="宋体" w:hAnsi="宋体" w:cs="宋体"/>
                <w:bCs/>
                <w:sz w:val="24"/>
                <w:szCs w:val="24"/>
              </w:rPr>
            </w:pPr>
          </w:p>
        </w:tc>
        <w:tc>
          <w:tcPr>
            <w:tcW w:w="3284" w:type="pct"/>
            <w:tcBorders>
              <w:top w:val="single" w:color="auto" w:sz="4" w:space="0"/>
              <w:left w:val="nil"/>
              <w:bottom w:val="single" w:color="auto" w:sz="4" w:space="0"/>
              <w:right w:val="single" w:color="auto" w:sz="4" w:space="0"/>
            </w:tcBorders>
            <w:vAlign w:val="center"/>
          </w:tcPr>
          <w:p w14:paraId="30EC3C9E">
            <w:pPr>
              <w:jc w:val="center"/>
              <w:rPr>
                <w:rFonts w:hint="eastAsia" w:ascii="宋体" w:hAnsi="宋体" w:cs="宋体"/>
                <w:bCs/>
                <w:sz w:val="24"/>
                <w:szCs w:val="24"/>
              </w:rPr>
            </w:pPr>
          </w:p>
        </w:tc>
        <w:tc>
          <w:tcPr>
            <w:tcW w:w="1020" w:type="pct"/>
            <w:tcBorders>
              <w:top w:val="single" w:color="auto" w:sz="4" w:space="0"/>
              <w:left w:val="nil"/>
              <w:bottom w:val="single" w:color="auto" w:sz="4" w:space="0"/>
              <w:right w:val="single" w:color="auto" w:sz="4" w:space="0"/>
            </w:tcBorders>
            <w:vAlign w:val="center"/>
          </w:tcPr>
          <w:p w14:paraId="71DE3B42">
            <w:pPr>
              <w:jc w:val="center"/>
              <w:rPr>
                <w:rFonts w:hint="eastAsia" w:ascii="宋体" w:hAnsi="宋体" w:cs="宋体"/>
                <w:bCs/>
                <w:sz w:val="24"/>
                <w:szCs w:val="24"/>
              </w:rPr>
            </w:pPr>
          </w:p>
        </w:tc>
      </w:tr>
      <w:tr w14:paraId="12D138B7">
        <w:tblPrEx>
          <w:tblCellMar>
            <w:top w:w="0" w:type="dxa"/>
            <w:left w:w="108" w:type="dxa"/>
            <w:bottom w:w="0" w:type="dxa"/>
            <w:right w:w="108" w:type="dxa"/>
          </w:tblCellMar>
        </w:tblPrEx>
        <w:trPr>
          <w:trHeight w:val="680" w:hRule="atLeast"/>
          <w:jc w:val="center"/>
        </w:trPr>
        <w:tc>
          <w:tcPr>
            <w:tcW w:w="695" w:type="pct"/>
            <w:tcBorders>
              <w:top w:val="single" w:color="auto" w:sz="4" w:space="0"/>
              <w:left w:val="single" w:color="auto" w:sz="4" w:space="0"/>
              <w:bottom w:val="single" w:color="auto" w:sz="4" w:space="0"/>
              <w:right w:val="single" w:color="auto" w:sz="4" w:space="0"/>
            </w:tcBorders>
            <w:vAlign w:val="center"/>
          </w:tcPr>
          <w:p w14:paraId="545693E8">
            <w:pPr>
              <w:jc w:val="center"/>
              <w:rPr>
                <w:rFonts w:hint="eastAsia" w:ascii="宋体" w:hAnsi="宋体" w:cs="宋体"/>
                <w:bCs/>
                <w:sz w:val="24"/>
                <w:szCs w:val="24"/>
              </w:rPr>
            </w:pPr>
          </w:p>
        </w:tc>
        <w:tc>
          <w:tcPr>
            <w:tcW w:w="3284" w:type="pct"/>
            <w:tcBorders>
              <w:top w:val="single" w:color="auto" w:sz="4" w:space="0"/>
              <w:left w:val="single" w:color="auto" w:sz="4" w:space="0"/>
              <w:bottom w:val="single" w:color="auto" w:sz="4" w:space="0"/>
              <w:right w:val="single" w:color="auto" w:sz="4" w:space="0"/>
            </w:tcBorders>
            <w:vAlign w:val="center"/>
          </w:tcPr>
          <w:p w14:paraId="187502BA">
            <w:pPr>
              <w:jc w:val="center"/>
              <w:rPr>
                <w:rFonts w:hint="eastAsia" w:ascii="宋体" w:hAnsi="宋体" w:cs="宋体"/>
                <w:bCs/>
                <w:sz w:val="24"/>
                <w:szCs w:val="24"/>
              </w:rPr>
            </w:pPr>
          </w:p>
        </w:tc>
        <w:tc>
          <w:tcPr>
            <w:tcW w:w="1020" w:type="pct"/>
            <w:tcBorders>
              <w:top w:val="single" w:color="auto" w:sz="4" w:space="0"/>
              <w:left w:val="single" w:color="auto" w:sz="4" w:space="0"/>
              <w:bottom w:val="single" w:color="auto" w:sz="4" w:space="0"/>
              <w:right w:val="single" w:color="auto" w:sz="4" w:space="0"/>
            </w:tcBorders>
            <w:vAlign w:val="center"/>
          </w:tcPr>
          <w:p w14:paraId="5BF64C12">
            <w:pPr>
              <w:jc w:val="center"/>
              <w:rPr>
                <w:rFonts w:hint="eastAsia" w:ascii="宋体" w:hAnsi="宋体" w:cs="宋体"/>
                <w:bCs/>
                <w:sz w:val="24"/>
                <w:szCs w:val="24"/>
              </w:rPr>
            </w:pPr>
          </w:p>
        </w:tc>
      </w:tr>
      <w:tr w14:paraId="1DEF9347">
        <w:tblPrEx>
          <w:tblCellMar>
            <w:top w:w="0" w:type="dxa"/>
            <w:left w:w="108" w:type="dxa"/>
            <w:bottom w:w="0" w:type="dxa"/>
            <w:right w:w="108" w:type="dxa"/>
          </w:tblCellMar>
        </w:tblPrEx>
        <w:trPr>
          <w:trHeight w:val="680" w:hRule="atLeast"/>
          <w:jc w:val="center"/>
        </w:trPr>
        <w:tc>
          <w:tcPr>
            <w:tcW w:w="695" w:type="pct"/>
            <w:tcBorders>
              <w:top w:val="single" w:color="auto" w:sz="4" w:space="0"/>
              <w:left w:val="single" w:color="auto" w:sz="4" w:space="0"/>
              <w:bottom w:val="single" w:color="auto" w:sz="4" w:space="0"/>
              <w:right w:val="single" w:color="auto" w:sz="4" w:space="0"/>
            </w:tcBorders>
            <w:vAlign w:val="center"/>
          </w:tcPr>
          <w:p w14:paraId="7F7986B7">
            <w:pPr>
              <w:jc w:val="center"/>
              <w:rPr>
                <w:rFonts w:hint="eastAsia" w:ascii="宋体" w:hAnsi="宋体" w:cs="宋体"/>
                <w:bCs/>
                <w:sz w:val="24"/>
                <w:szCs w:val="24"/>
              </w:rPr>
            </w:pPr>
          </w:p>
        </w:tc>
        <w:tc>
          <w:tcPr>
            <w:tcW w:w="3284" w:type="pct"/>
            <w:tcBorders>
              <w:top w:val="single" w:color="auto" w:sz="4" w:space="0"/>
              <w:left w:val="single" w:color="auto" w:sz="4" w:space="0"/>
              <w:bottom w:val="single" w:color="auto" w:sz="4" w:space="0"/>
              <w:right w:val="single" w:color="auto" w:sz="4" w:space="0"/>
            </w:tcBorders>
            <w:vAlign w:val="center"/>
          </w:tcPr>
          <w:p w14:paraId="74320A32">
            <w:pPr>
              <w:jc w:val="center"/>
              <w:rPr>
                <w:rFonts w:hint="eastAsia" w:ascii="宋体" w:hAnsi="宋体" w:cs="宋体"/>
                <w:bCs/>
                <w:sz w:val="24"/>
                <w:szCs w:val="24"/>
              </w:rPr>
            </w:pPr>
          </w:p>
        </w:tc>
        <w:tc>
          <w:tcPr>
            <w:tcW w:w="1020" w:type="pct"/>
            <w:tcBorders>
              <w:top w:val="single" w:color="auto" w:sz="4" w:space="0"/>
              <w:left w:val="single" w:color="auto" w:sz="4" w:space="0"/>
              <w:bottom w:val="single" w:color="auto" w:sz="4" w:space="0"/>
              <w:right w:val="single" w:color="auto" w:sz="4" w:space="0"/>
            </w:tcBorders>
            <w:vAlign w:val="center"/>
          </w:tcPr>
          <w:p w14:paraId="3EBE19C6">
            <w:pPr>
              <w:jc w:val="center"/>
              <w:rPr>
                <w:rFonts w:hint="eastAsia" w:ascii="宋体" w:hAnsi="宋体" w:cs="宋体"/>
                <w:bCs/>
                <w:sz w:val="24"/>
                <w:szCs w:val="24"/>
              </w:rPr>
            </w:pPr>
          </w:p>
        </w:tc>
      </w:tr>
      <w:tr w14:paraId="78CAC6BC">
        <w:tblPrEx>
          <w:tblCellMar>
            <w:top w:w="0" w:type="dxa"/>
            <w:left w:w="108" w:type="dxa"/>
            <w:bottom w:w="0" w:type="dxa"/>
            <w:right w:w="108" w:type="dxa"/>
          </w:tblCellMar>
        </w:tblPrEx>
        <w:trPr>
          <w:trHeight w:val="2139" w:hRule="atLeast"/>
          <w:jc w:val="center"/>
        </w:trPr>
        <w:tc>
          <w:tcPr>
            <w:tcW w:w="5000" w:type="pct"/>
            <w:gridSpan w:val="3"/>
            <w:tcBorders>
              <w:top w:val="single" w:color="auto" w:sz="4" w:space="0"/>
              <w:left w:val="single" w:color="auto" w:sz="4" w:space="0"/>
              <w:bottom w:val="single" w:color="auto" w:sz="4" w:space="0"/>
              <w:right w:val="single" w:color="auto" w:sz="4" w:space="0"/>
            </w:tcBorders>
            <w:vAlign w:val="center"/>
          </w:tcPr>
          <w:p w14:paraId="0AF1D62D">
            <w:pPr>
              <w:rPr>
                <w:sz w:val="24"/>
                <w:szCs w:val="24"/>
              </w:rPr>
            </w:pPr>
            <w:r>
              <w:rPr>
                <w:rFonts w:hint="eastAsia"/>
                <w:sz w:val="24"/>
                <w:szCs w:val="24"/>
              </w:rPr>
              <w:t>备注：</w:t>
            </w:r>
          </w:p>
          <w:p w14:paraId="7AB2257B">
            <w:pPr>
              <w:numPr>
                <w:ilvl w:val="0"/>
                <w:numId w:val="9"/>
              </w:numPr>
              <w:jc w:val="left"/>
              <w:rPr>
                <w:sz w:val="24"/>
                <w:szCs w:val="24"/>
              </w:rPr>
            </w:pPr>
            <w:r>
              <w:rPr>
                <w:rFonts w:hint="eastAsia"/>
                <w:sz w:val="24"/>
                <w:szCs w:val="24"/>
              </w:rPr>
              <w:t>投标供应商按照《综合评分明细表》编制此表。</w:t>
            </w:r>
          </w:p>
          <w:p w14:paraId="1F54D52C">
            <w:pPr>
              <w:numPr>
                <w:ilvl w:val="0"/>
                <w:numId w:val="9"/>
              </w:numPr>
              <w:jc w:val="left"/>
              <w:rPr>
                <w:sz w:val="24"/>
                <w:szCs w:val="24"/>
              </w:rPr>
            </w:pPr>
            <w:r>
              <w:rPr>
                <w:rFonts w:hint="eastAsia"/>
                <w:sz w:val="24"/>
                <w:szCs w:val="24"/>
              </w:rPr>
              <w:t>投标供应商应当根据本单位实际情况填写，并标注相关证明材料的位置页码，</w:t>
            </w:r>
          </w:p>
          <w:p w14:paraId="1482CBA2">
            <w:pPr>
              <w:numPr>
                <w:ilvl w:val="0"/>
                <w:numId w:val="9"/>
              </w:numPr>
              <w:jc w:val="left"/>
              <w:rPr>
                <w:rFonts w:eastAsia="黑体"/>
              </w:rPr>
            </w:pPr>
            <w:r>
              <w:rPr>
                <w:rFonts w:hint="eastAsia"/>
                <w:sz w:val="24"/>
                <w:szCs w:val="24"/>
              </w:rPr>
              <w:t>投标供应商不得虚报、瞒报、漏报或虚假承诺。</w:t>
            </w:r>
          </w:p>
        </w:tc>
      </w:tr>
    </w:tbl>
    <w:p w14:paraId="1637260B">
      <w:pPr>
        <w:autoSpaceDE w:val="0"/>
        <w:autoSpaceDN w:val="0"/>
        <w:adjustRightInd w:val="0"/>
        <w:jc w:val="center"/>
        <w:rPr>
          <w:rFonts w:hint="eastAsia" w:ascii="宋体" w:hAnsi="宋体" w:cs="宋体"/>
          <w:b/>
          <w:bCs/>
          <w:color w:val="000000"/>
          <w:sz w:val="28"/>
          <w:szCs w:val="28"/>
          <w:lang w:val="zh-CN"/>
        </w:rPr>
      </w:pPr>
    </w:p>
    <w:p w14:paraId="5CBB1E54">
      <w:pPr>
        <w:autoSpaceDE w:val="0"/>
        <w:autoSpaceDN w:val="0"/>
        <w:adjustRightInd w:val="0"/>
        <w:jc w:val="center"/>
        <w:rPr>
          <w:rFonts w:hint="eastAsia" w:ascii="宋体" w:hAnsi="宋体" w:cs="宋体"/>
          <w:b/>
          <w:bCs/>
          <w:color w:val="000000"/>
          <w:sz w:val="28"/>
          <w:szCs w:val="28"/>
          <w:lang w:val="zh-CN"/>
        </w:rPr>
      </w:pPr>
    </w:p>
    <w:p w14:paraId="11876E69">
      <w:pPr>
        <w:autoSpaceDE w:val="0"/>
        <w:autoSpaceDN w:val="0"/>
        <w:adjustRightInd w:val="0"/>
        <w:jc w:val="center"/>
        <w:rPr>
          <w:rFonts w:hint="eastAsia" w:ascii="宋体" w:hAnsi="宋体" w:cs="宋体"/>
          <w:b/>
          <w:bCs/>
          <w:color w:val="000000"/>
          <w:sz w:val="28"/>
          <w:szCs w:val="28"/>
          <w:lang w:val="zh-CN"/>
        </w:rPr>
      </w:pPr>
    </w:p>
    <w:p w14:paraId="13A36938">
      <w:pPr>
        <w:autoSpaceDE w:val="0"/>
        <w:autoSpaceDN w:val="0"/>
        <w:adjustRightInd w:val="0"/>
        <w:jc w:val="center"/>
        <w:rPr>
          <w:rFonts w:hint="eastAsia" w:ascii="宋体" w:hAnsi="宋体" w:cs="宋体"/>
          <w:b/>
          <w:bCs/>
          <w:color w:val="000000"/>
          <w:sz w:val="28"/>
          <w:szCs w:val="28"/>
          <w:lang w:val="zh-CN"/>
        </w:rPr>
      </w:pPr>
    </w:p>
    <w:p w14:paraId="7F085039">
      <w:pPr>
        <w:autoSpaceDE w:val="0"/>
        <w:autoSpaceDN w:val="0"/>
        <w:adjustRightInd w:val="0"/>
        <w:jc w:val="center"/>
        <w:rPr>
          <w:rFonts w:hint="eastAsia" w:ascii="宋体" w:hAnsi="宋体" w:cs="宋体"/>
          <w:b/>
          <w:bCs/>
          <w:color w:val="000000"/>
          <w:sz w:val="28"/>
          <w:szCs w:val="28"/>
          <w:lang w:val="zh-CN"/>
        </w:rPr>
      </w:pPr>
    </w:p>
    <w:p w14:paraId="7CFA9476">
      <w:pPr>
        <w:autoSpaceDE w:val="0"/>
        <w:autoSpaceDN w:val="0"/>
        <w:adjustRightInd w:val="0"/>
        <w:jc w:val="center"/>
        <w:rPr>
          <w:rFonts w:hint="eastAsia" w:ascii="宋体" w:hAnsi="宋体" w:cs="宋体"/>
          <w:b/>
          <w:bCs/>
          <w:color w:val="000000"/>
          <w:sz w:val="28"/>
          <w:szCs w:val="28"/>
          <w:lang w:val="zh-CN"/>
        </w:rPr>
      </w:pPr>
    </w:p>
    <w:p w14:paraId="341E7984">
      <w:pPr>
        <w:autoSpaceDE w:val="0"/>
        <w:autoSpaceDN w:val="0"/>
        <w:adjustRightInd w:val="0"/>
        <w:jc w:val="center"/>
        <w:rPr>
          <w:rFonts w:hint="eastAsia" w:ascii="宋体" w:hAnsi="宋体" w:cs="宋体"/>
          <w:b/>
          <w:bCs/>
          <w:color w:val="000000"/>
          <w:sz w:val="28"/>
          <w:szCs w:val="28"/>
          <w:lang w:val="zh-CN"/>
        </w:rPr>
      </w:pPr>
      <w:r>
        <w:rPr>
          <w:rFonts w:hint="eastAsia" w:ascii="宋体" w:hAnsi="宋体" w:cs="宋体"/>
          <w:b/>
          <w:bCs/>
          <w:color w:val="000000"/>
          <w:sz w:val="28"/>
          <w:szCs w:val="28"/>
          <w:lang w:val="zh-CN"/>
        </w:rPr>
        <w:t>一、投标函</w:t>
      </w:r>
    </w:p>
    <w:p w14:paraId="1028802B">
      <w:pPr>
        <w:autoSpaceDE w:val="0"/>
        <w:autoSpaceDN w:val="0"/>
        <w:adjustRightInd w:val="0"/>
        <w:rPr>
          <w:rFonts w:hint="eastAsia" w:ascii="宋体" w:hAnsi="宋体" w:cs="宋体"/>
          <w:bCs/>
          <w:color w:val="000000"/>
          <w:szCs w:val="21"/>
          <w:lang w:val="zh-CN"/>
        </w:rPr>
      </w:pPr>
    </w:p>
    <w:p w14:paraId="7CC9A279">
      <w:pPr>
        <w:autoSpaceDE w:val="0"/>
        <w:autoSpaceDN w:val="0"/>
        <w:adjustRightInd w:val="0"/>
        <w:ind w:firstLine="120" w:firstLineChars="50"/>
        <w:rPr>
          <w:rFonts w:hint="eastAsia" w:ascii="宋体" w:hAnsi="宋体" w:cs="宋体"/>
          <w:bCs/>
          <w:color w:val="000000"/>
          <w:sz w:val="24"/>
          <w:szCs w:val="24"/>
          <w:lang w:val="zh-CN"/>
        </w:rPr>
      </w:pPr>
      <w:r>
        <w:rPr>
          <w:rFonts w:hint="eastAsia" w:ascii="宋体" w:hAnsi="宋体" w:cs="宋体"/>
          <w:bCs/>
          <w:color w:val="000000"/>
          <w:sz w:val="24"/>
          <w:szCs w:val="24"/>
          <w:u w:val="single"/>
          <w:lang w:val="zh-CN"/>
        </w:rPr>
        <w:t xml:space="preserve">     （采购人名称）           </w:t>
      </w:r>
      <w:r>
        <w:rPr>
          <w:rFonts w:hint="eastAsia" w:ascii="宋体" w:hAnsi="宋体" w:cs="宋体"/>
          <w:bCs/>
          <w:color w:val="000000"/>
          <w:sz w:val="24"/>
          <w:szCs w:val="24"/>
          <w:lang w:val="zh-CN"/>
        </w:rPr>
        <w:t>：</w:t>
      </w:r>
    </w:p>
    <w:p w14:paraId="5E6AE647">
      <w:pPr>
        <w:autoSpaceDE w:val="0"/>
        <w:autoSpaceDN w:val="0"/>
        <w:adjustRightInd w:val="0"/>
        <w:rPr>
          <w:rFonts w:hint="eastAsia" w:ascii="宋体" w:hAnsi="宋体" w:cs="宋体"/>
          <w:bCs/>
          <w:color w:val="000000"/>
          <w:sz w:val="24"/>
          <w:szCs w:val="24"/>
          <w:lang w:val="zh-CN"/>
        </w:rPr>
      </w:pPr>
    </w:p>
    <w:p w14:paraId="46112868">
      <w:pPr>
        <w:autoSpaceDE w:val="0"/>
        <w:autoSpaceDN w:val="0"/>
        <w:adjustRightInd w:val="0"/>
        <w:ind w:firstLine="480"/>
        <w:rPr>
          <w:rFonts w:hint="eastAsia" w:ascii="宋体" w:hAnsi="宋体" w:cs="宋体"/>
          <w:bCs/>
          <w:color w:val="000000"/>
          <w:sz w:val="24"/>
          <w:szCs w:val="24"/>
          <w:lang w:val="zh-CN"/>
        </w:rPr>
      </w:pPr>
      <w:r>
        <w:rPr>
          <w:rFonts w:hint="eastAsia" w:ascii="宋体" w:hAnsi="宋体" w:cs="宋体"/>
          <w:bCs/>
          <w:color w:val="000000"/>
          <w:sz w:val="24"/>
          <w:szCs w:val="24"/>
          <w:lang w:val="zh-CN"/>
        </w:rPr>
        <w:t xml:space="preserve">根据你方 </w:t>
      </w:r>
      <w:r>
        <w:rPr>
          <w:rFonts w:hint="eastAsia" w:ascii="宋体" w:hAnsi="宋体" w:cs="宋体"/>
          <w:bCs/>
          <w:color w:val="000000"/>
          <w:sz w:val="24"/>
          <w:szCs w:val="24"/>
          <w:u w:val="single"/>
          <w:lang w:val="zh-CN"/>
        </w:rPr>
        <w:t xml:space="preserve">  （项目名称） </w:t>
      </w:r>
      <w:r>
        <w:rPr>
          <w:rFonts w:hint="eastAsia" w:ascii="宋体" w:hAnsi="宋体" w:cs="宋体"/>
          <w:bCs/>
          <w:color w:val="000000"/>
          <w:sz w:val="24"/>
          <w:szCs w:val="24"/>
          <w:lang w:val="zh-CN"/>
        </w:rPr>
        <w:t>项目的编号为</w:t>
      </w:r>
      <w:r>
        <w:rPr>
          <w:rFonts w:hint="eastAsia" w:ascii="宋体" w:hAnsi="宋体" w:cs="宋体"/>
          <w:bCs/>
          <w:color w:val="000000"/>
          <w:sz w:val="24"/>
          <w:szCs w:val="24"/>
          <w:u w:val="single"/>
          <w:lang w:val="zh-CN"/>
        </w:rPr>
        <w:t xml:space="preserve">  （编号）     </w:t>
      </w:r>
      <w:r>
        <w:rPr>
          <w:rFonts w:hint="eastAsia" w:ascii="宋体" w:hAnsi="宋体" w:cs="宋体"/>
          <w:bCs/>
          <w:color w:val="000000"/>
          <w:sz w:val="24"/>
          <w:szCs w:val="24"/>
          <w:lang w:val="zh-CN"/>
        </w:rPr>
        <w:t>招标文件，我方正式授权的下述签字人</w:t>
      </w:r>
      <w:r>
        <w:rPr>
          <w:rFonts w:hint="eastAsia" w:ascii="宋体" w:hAnsi="宋体" w:cs="宋体"/>
          <w:bCs/>
          <w:color w:val="000000"/>
          <w:sz w:val="24"/>
          <w:szCs w:val="24"/>
          <w:u w:val="single"/>
          <w:lang w:val="zh-CN"/>
        </w:rPr>
        <w:t xml:space="preserve">  （姓名和职务）  </w:t>
      </w:r>
      <w:r>
        <w:rPr>
          <w:rFonts w:hint="eastAsia" w:ascii="宋体" w:hAnsi="宋体" w:cs="宋体"/>
          <w:bCs/>
          <w:color w:val="000000"/>
          <w:sz w:val="24"/>
          <w:szCs w:val="24"/>
          <w:lang w:val="zh-CN"/>
        </w:rPr>
        <w:t>代表我方</w:t>
      </w:r>
      <w:r>
        <w:rPr>
          <w:rFonts w:hint="eastAsia" w:ascii="宋体" w:hAnsi="宋体" w:cs="宋体"/>
          <w:bCs/>
          <w:color w:val="000000"/>
          <w:sz w:val="24"/>
          <w:szCs w:val="24"/>
          <w:u w:val="single"/>
          <w:lang w:val="zh-CN"/>
        </w:rPr>
        <w:t xml:space="preserve">  （投标人的名称）  </w:t>
      </w:r>
      <w:r>
        <w:rPr>
          <w:rFonts w:hint="eastAsia" w:ascii="宋体" w:hAnsi="宋体" w:cs="宋体"/>
          <w:bCs/>
          <w:color w:val="000000"/>
          <w:sz w:val="24"/>
          <w:szCs w:val="24"/>
          <w:lang w:val="zh-CN"/>
        </w:rPr>
        <w:t>，按照你方招标文件的规定，提交《投标人须知》“投标文件构成”要求的全部文件</w:t>
      </w:r>
      <w:r>
        <w:rPr>
          <w:rFonts w:hint="eastAsia" w:ascii="宋体" w:hAnsi="宋体" w:cs="宋体"/>
          <w:bCs/>
          <w:color w:val="000000"/>
          <w:sz w:val="24"/>
          <w:szCs w:val="24"/>
        </w:rPr>
        <w:t>，</w:t>
      </w:r>
      <w:r>
        <w:rPr>
          <w:rFonts w:hint="eastAsia" w:ascii="宋体" w:hAnsi="宋体" w:cs="宋体"/>
          <w:bCs/>
          <w:color w:val="000000"/>
          <w:sz w:val="24"/>
          <w:szCs w:val="24"/>
          <w:lang w:val="zh-CN"/>
        </w:rPr>
        <w:t>并保证所提供的全部文件是真实的、有效的和准确的。</w:t>
      </w:r>
    </w:p>
    <w:p w14:paraId="1B47E5DD">
      <w:pPr>
        <w:autoSpaceDE w:val="0"/>
        <w:autoSpaceDN w:val="0"/>
        <w:adjustRightInd w:val="0"/>
        <w:ind w:firstLine="480"/>
        <w:rPr>
          <w:rFonts w:hint="eastAsia" w:ascii="宋体" w:hAnsi="宋体" w:cs="宋体"/>
          <w:bCs/>
          <w:color w:val="000000"/>
          <w:sz w:val="24"/>
          <w:szCs w:val="24"/>
          <w:lang w:val="zh-CN"/>
        </w:rPr>
      </w:pPr>
      <w:r>
        <w:rPr>
          <w:rFonts w:hint="eastAsia" w:ascii="宋体" w:hAnsi="宋体" w:cs="宋体"/>
          <w:bCs/>
          <w:color w:val="000000"/>
          <w:sz w:val="24"/>
          <w:szCs w:val="24"/>
          <w:lang w:val="zh-CN"/>
        </w:rPr>
        <w:t>据此函，签字人兹宣布同意如下：</w:t>
      </w:r>
    </w:p>
    <w:p w14:paraId="304A1F16">
      <w:pPr>
        <w:tabs>
          <w:tab w:val="left" w:pos="8175"/>
        </w:tabs>
        <w:autoSpaceDE w:val="0"/>
        <w:autoSpaceDN w:val="0"/>
        <w:adjustRightInd w:val="0"/>
        <w:ind w:firstLine="480" w:firstLineChars="200"/>
        <w:rPr>
          <w:rFonts w:hint="eastAsia" w:ascii="宋体" w:hAnsi="宋体" w:cs="宋体"/>
          <w:bCs/>
          <w:color w:val="000000"/>
          <w:sz w:val="24"/>
          <w:szCs w:val="24"/>
          <w:lang w:val="zh-CN"/>
        </w:rPr>
      </w:pPr>
      <w:r>
        <w:rPr>
          <w:rFonts w:hint="eastAsia" w:ascii="宋体" w:hAnsi="宋体" w:cs="宋体"/>
          <w:bCs/>
          <w:color w:val="000000"/>
          <w:sz w:val="24"/>
          <w:szCs w:val="24"/>
          <w:lang w:val="zh-CN"/>
        </w:rPr>
        <w:t>1.按招标文件规定提供货物及服务的投标总价为（大写</w:t>
      </w:r>
      <w:r>
        <w:rPr>
          <w:rFonts w:hint="eastAsia" w:ascii="宋体" w:hAnsi="宋体" w:cs="宋体"/>
          <w:bCs/>
          <w:color w:val="000000"/>
          <w:sz w:val="24"/>
          <w:szCs w:val="24"/>
          <w:u w:val="single"/>
          <w:lang w:val="zh-CN"/>
        </w:rPr>
        <w:t xml:space="preserve">）     </w:t>
      </w:r>
      <w:r>
        <w:rPr>
          <w:rFonts w:hint="eastAsia" w:ascii="宋体" w:hAnsi="宋体" w:cs="宋体"/>
          <w:bCs/>
          <w:color w:val="000000"/>
          <w:sz w:val="24"/>
          <w:szCs w:val="24"/>
          <w:lang w:val="zh-CN"/>
        </w:rPr>
        <w:t>元人民币。</w:t>
      </w:r>
    </w:p>
    <w:p w14:paraId="269753A1">
      <w:pPr>
        <w:tabs>
          <w:tab w:val="left" w:pos="8175"/>
        </w:tabs>
        <w:autoSpaceDE w:val="0"/>
        <w:autoSpaceDN w:val="0"/>
        <w:adjustRightInd w:val="0"/>
        <w:ind w:firstLine="480" w:firstLineChars="200"/>
        <w:rPr>
          <w:rFonts w:hint="eastAsia" w:ascii="宋体" w:hAnsi="宋体" w:cs="宋体"/>
          <w:bCs/>
          <w:color w:val="000000"/>
          <w:sz w:val="24"/>
          <w:szCs w:val="24"/>
          <w:u w:val="single"/>
        </w:rPr>
      </w:pPr>
      <w:r>
        <w:rPr>
          <w:rFonts w:hint="eastAsia" w:ascii="宋体" w:hAnsi="宋体" w:cs="宋体"/>
          <w:bCs/>
          <w:color w:val="000000"/>
          <w:sz w:val="24"/>
          <w:szCs w:val="24"/>
          <w:lang w:val="zh-CN"/>
        </w:rPr>
        <w:t>2.如果我方中标，我们保证根据招标文件规定履行合同责任和义务。具体合同履行期限承诺如下：</w:t>
      </w:r>
      <w:r>
        <w:rPr>
          <w:rFonts w:hint="eastAsia" w:ascii="宋体" w:hAnsi="宋体" w:cs="宋体"/>
          <w:bCs/>
          <w:color w:val="000000"/>
          <w:sz w:val="24"/>
          <w:szCs w:val="24"/>
          <w:u w:val="single"/>
        </w:rPr>
        <w:t xml:space="preserve">         </w:t>
      </w:r>
    </w:p>
    <w:p w14:paraId="167009A7">
      <w:pPr>
        <w:autoSpaceDE w:val="0"/>
        <w:autoSpaceDN w:val="0"/>
        <w:adjustRightInd w:val="0"/>
        <w:ind w:firstLine="480"/>
        <w:rPr>
          <w:rFonts w:hint="eastAsia" w:ascii="宋体" w:hAnsi="宋体" w:cs="宋体"/>
          <w:bCs/>
          <w:color w:val="000000"/>
          <w:sz w:val="24"/>
          <w:szCs w:val="24"/>
          <w:lang w:val="zh-CN"/>
        </w:rPr>
      </w:pPr>
      <w:r>
        <w:rPr>
          <w:rFonts w:hint="eastAsia" w:ascii="宋体" w:hAnsi="宋体" w:cs="宋体"/>
          <w:bCs/>
          <w:color w:val="000000"/>
          <w:sz w:val="24"/>
          <w:szCs w:val="24"/>
          <w:lang w:val="zh-CN"/>
        </w:rPr>
        <w:t>3.我方人民币</w:t>
      </w:r>
      <w:r>
        <w:rPr>
          <w:rFonts w:hint="eastAsia" w:ascii="宋体" w:hAnsi="宋体" w:cs="宋体"/>
          <w:bCs/>
          <w:color w:val="000000"/>
          <w:sz w:val="24"/>
          <w:szCs w:val="24"/>
          <w:u w:val="single"/>
          <w:lang w:val="zh-CN"/>
        </w:rPr>
        <w:t xml:space="preserve">        </w:t>
      </w:r>
      <w:r>
        <w:rPr>
          <w:rFonts w:hint="eastAsia" w:ascii="宋体" w:hAnsi="宋体" w:cs="宋体"/>
          <w:bCs/>
          <w:color w:val="000000"/>
          <w:sz w:val="24"/>
          <w:szCs w:val="24"/>
          <w:lang w:val="zh-CN"/>
        </w:rPr>
        <w:t>元的投标保证金与本投标文件同时提交。</w:t>
      </w:r>
    </w:p>
    <w:p w14:paraId="632F0E0D">
      <w:pPr>
        <w:autoSpaceDE w:val="0"/>
        <w:autoSpaceDN w:val="0"/>
        <w:adjustRightInd w:val="0"/>
        <w:ind w:firstLine="480"/>
        <w:rPr>
          <w:rFonts w:hint="eastAsia" w:ascii="宋体" w:hAnsi="宋体" w:cs="宋体"/>
          <w:bCs/>
          <w:color w:val="000000"/>
          <w:sz w:val="24"/>
          <w:szCs w:val="24"/>
          <w:lang w:val="zh-CN"/>
        </w:rPr>
      </w:pPr>
      <w:r>
        <w:rPr>
          <w:rFonts w:hint="eastAsia" w:ascii="宋体" w:hAnsi="宋体" w:cs="宋体"/>
          <w:bCs/>
          <w:color w:val="000000"/>
          <w:sz w:val="24"/>
          <w:szCs w:val="24"/>
          <w:lang w:val="zh-CN"/>
        </w:rPr>
        <w:t>4.如我方中标，我方将在法律规定的期限内与你方签订合同，按照招标文件要求</w:t>
      </w:r>
      <w:r>
        <w:rPr>
          <w:rFonts w:hint="eastAsia" w:ascii="宋体" w:hAnsi="宋体" w:cs="宋体"/>
          <w:bCs/>
          <w:color w:val="000000"/>
          <w:sz w:val="24"/>
          <w:szCs w:val="24"/>
        </w:rPr>
        <w:t>提</w:t>
      </w:r>
      <w:r>
        <w:rPr>
          <w:rFonts w:hint="eastAsia" w:ascii="宋体" w:hAnsi="宋体" w:cs="宋体"/>
          <w:bCs/>
          <w:color w:val="000000"/>
          <w:sz w:val="24"/>
          <w:szCs w:val="24"/>
          <w:lang w:val="zh-CN"/>
        </w:rPr>
        <w:t>交履约保证金，并在合同约定的期限内完成合同规定的全部义务。</w:t>
      </w:r>
    </w:p>
    <w:p w14:paraId="1F3B0661">
      <w:pPr>
        <w:autoSpaceDE w:val="0"/>
        <w:autoSpaceDN w:val="0"/>
        <w:adjustRightInd w:val="0"/>
        <w:ind w:firstLine="480"/>
        <w:rPr>
          <w:rFonts w:hint="eastAsia" w:ascii="宋体" w:hAnsi="宋体" w:cs="宋体"/>
          <w:bCs/>
          <w:color w:val="000000"/>
          <w:sz w:val="24"/>
          <w:szCs w:val="24"/>
          <w:lang w:val="zh-CN"/>
        </w:rPr>
      </w:pPr>
      <w:r>
        <w:rPr>
          <w:rFonts w:hint="eastAsia" w:ascii="宋体" w:hAnsi="宋体" w:cs="宋体"/>
          <w:bCs/>
          <w:color w:val="000000"/>
          <w:sz w:val="24"/>
          <w:szCs w:val="24"/>
          <w:lang w:val="zh-CN"/>
        </w:rPr>
        <w:t>5.我们已详细阅读了全部招标文件，包括招标文件的修改、补充文件、参考资料及有关的附件，我们接受招标文件的全部条款和条件，我们知道必须放弃提出含糊不清或误解的问题的权利。</w:t>
      </w:r>
    </w:p>
    <w:p w14:paraId="3670822B">
      <w:pPr>
        <w:autoSpaceDE w:val="0"/>
        <w:autoSpaceDN w:val="0"/>
        <w:adjustRightInd w:val="0"/>
        <w:ind w:firstLine="480"/>
        <w:rPr>
          <w:rFonts w:hint="eastAsia" w:ascii="宋体" w:hAnsi="宋体" w:cs="宋体"/>
          <w:bCs/>
          <w:color w:val="000000"/>
          <w:sz w:val="24"/>
          <w:szCs w:val="24"/>
          <w:lang w:val="zh-CN"/>
        </w:rPr>
      </w:pPr>
      <w:r>
        <w:rPr>
          <w:rFonts w:hint="eastAsia" w:ascii="宋体" w:hAnsi="宋体" w:cs="宋体"/>
          <w:bCs/>
          <w:color w:val="000000"/>
          <w:sz w:val="24"/>
          <w:szCs w:val="24"/>
          <w:lang w:val="zh-CN"/>
        </w:rPr>
        <w:t>6.我们对招标文件关于时限、程序方面的规定没有异议，保证按照招标文件规定的时限和程序参加投标活动。</w:t>
      </w:r>
    </w:p>
    <w:p w14:paraId="153E77AD">
      <w:pPr>
        <w:autoSpaceDE w:val="0"/>
        <w:autoSpaceDN w:val="0"/>
        <w:adjustRightInd w:val="0"/>
        <w:ind w:firstLine="480"/>
        <w:rPr>
          <w:rFonts w:hint="eastAsia" w:ascii="宋体" w:hAnsi="宋体" w:cs="宋体"/>
          <w:bCs/>
          <w:color w:val="000000"/>
          <w:sz w:val="24"/>
          <w:szCs w:val="24"/>
          <w:lang w:val="zh-CN"/>
        </w:rPr>
      </w:pPr>
      <w:r>
        <w:rPr>
          <w:rFonts w:hint="eastAsia" w:ascii="宋体" w:hAnsi="宋体" w:cs="宋体"/>
          <w:bCs/>
          <w:color w:val="000000"/>
          <w:sz w:val="24"/>
          <w:szCs w:val="24"/>
          <w:lang w:val="zh-CN"/>
        </w:rPr>
        <w:t>7.我们同意在投标人须知规定的开标时间起遵循本投标书，并在投标人须知规定的投标有效期满之前均具有约束力，并有可能中标。</w:t>
      </w:r>
    </w:p>
    <w:p w14:paraId="1881E956">
      <w:pPr>
        <w:autoSpaceDE w:val="0"/>
        <w:autoSpaceDN w:val="0"/>
        <w:adjustRightInd w:val="0"/>
        <w:ind w:firstLine="480"/>
        <w:rPr>
          <w:rFonts w:hint="eastAsia" w:ascii="宋体" w:hAnsi="宋体" w:cs="宋体"/>
          <w:bCs/>
          <w:color w:val="000000"/>
          <w:sz w:val="24"/>
          <w:szCs w:val="24"/>
          <w:lang w:val="zh-CN"/>
        </w:rPr>
      </w:pPr>
      <w:r>
        <w:rPr>
          <w:rFonts w:hint="eastAsia" w:ascii="宋体" w:hAnsi="宋体" w:cs="宋体"/>
          <w:bCs/>
          <w:color w:val="000000"/>
          <w:sz w:val="24"/>
          <w:szCs w:val="24"/>
          <w:lang w:val="zh-CN"/>
        </w:rPr>
        <w:t>8.我们如果在规定的投标有效期内撤回投标，则你方可不予退还我们的投标保证金。</w:t>
      </w:r>
    </w:p>
    <w:p w14:paraId="4AE158A4">
      <w:pPr>
        <w:autoSpaceDE w:val="0"/>
        <w:autoSpaceDN w:val="0"/>
        <w:adjustRightInd w:val="0"/>
        <w:ind w:firstLine="480"/>
        <w:rPr>
          <w:rFonts w:hint="eastAsia" w:ascii="宋体" w:hAnsi="宋体" w:cs="宋体"/>
          <w:bCs/>
          <w:color w:val="000000"/>
          <w:sz w:val="24"/>
          <w:szCs w:val="24"/>
          <w:lang w:val="zh-CN"/>
        </w:rPr>
      </w:pPr>
      <w:r>
        <w:rPr>
          <w:rFonts w:hint="eastAsia" w:ascii="宋体" w:hAnsi="宋体" w:cs="宋体"/>
          <w:bCs/>
          <w:color w:val="000000"/>
          <w:sz w:val="24"/>
          <w:szCs w:val="24"/>
          <w:lang w:val="zh-CN"/>
        </w:rPr>
        <w:t>9.我方已</w:t>
      </w:r>
      <w:r>
        <w:rPr>
          <w:rFonts w:hint="eastAsia" w:ascii="宋体" w:hAnsi="宋体" w:cs="宋体"/>
          <w:bCs/>
          <w:color w:val="000000"/>
          <w:sz w:val="24"/>
          <w:szCs w:val="24"/>
        </w:rPr>
        <w:t>提</w:t>
      </w:r>
      <w:r>
        <w:rPr>
          <w:rFonts w:hint="eastAsia" w:ascii="宋体" w:hAnsi="宋体" w:cs="宋体"/>
          <w:bCs/>
          <w:color w:val="000000"/>
          <w:sz w:val="24"/>
          <w:szCs w:val="24"/>
          <w:lang w:val="zh-CN"/>
        </w:rPr>
        <w:t>供的全部文件资料是真实、准确的，并对此承担一切法律后果。</w:t>
      </w:r>
    </w:p>
    <w:p w14:paraId="42126199">
      <w:pPr>
        <w:autoSpaceDE w:val="0"/>
        <w:autoSpaceDN w:val="0"/>
        <w:adjustRightInd w:val="0"/>
        <w:ind w:firstLine="480"/>
        <w:rPr>
          <w:rFonts w:hint="eastAsia" w:ascii="宋体" w:hAnsi="宋体" w:cs="宋体"/>
          <w:bCs/>
          <w:color w:val="000000"/>
          <w:sz w:val="24"/>
          <w:szCs w:val="24"/>
          <w:lang w:val="zh-CN"/>
        </w:rPr>
      </w:pPr>
      <w:r>
        <w:rPr>
          <w:rFonts w:hint="eastAsia" w:ascii="宋体" w:hAnsi="宋体" w:cs="宋体"/>
          <w:bCs/>
          <w:color w:val="000000"/>
          <w:sz w:val="24"/>
          <w:szCs w:val="24"/>
          <w:lang w:val="zh-CN"/>
        </w:rPr>
        <w:t>10.除合同条款及采购需求偏离表列出的偏离外，我方响应招标文件的全部要求。</w:t>
      </w:r>
    </w:p>
    <w:p w14:paraId="5636F223">
      <w:pPr>
        <w:autoSpaceDE w:val="0"/>
        <w:autoSpaceDN w:val="0"/>
        <w:adjustRightInd w:val="0"/>
        <w:ind w:firstLine="480"/>
        <w:rPr>
          <w:rFonts w:hint="eastAsia" w:ascii="宋体" w:hAnsi="宋体" w:cs="宋体"/>
          <w:bCs/>
          <w:color w:val="000000"/>
          <w:sz w:val="24"/>
          <w:szCs w:val="24"/>
          <w:lang w:val="zh-CN"/>
        </w:rPr>
      </w:pPr>
      <w:r>
        <w:rPr>
          <w:rFonts w:hint="eastAsia" w:ascii="宋体" w:hAnsi="宋体" w:cs="宋体"/>
          <w:bCs/>
          <w:color w:val="000000"/>
          <w:sz w:val="24"/>
          <w:szCs w:val="24"/>
          <w:lang w:val="zh-CN"/>
        </w:rPr>
        <w:t>11.本投标自开标之时起90天内有效。</w:t>
      </w:r>
    </w:p>
    <w:p w14:paraId="14F41477">
      <w:pPr>
        <w:tabs>
          <w:tab w:val="left" w:pos="709"/>
        </w:tabs>
        <w:autoSpaceDE w:val="0"/>
        <w:autoSpaceDN w:val="0"/>
        <w:adjustRightInd w:val="0"/>
        <w:ind w:firstLine="482"/>
        <w:rPr>
          <w:rFonts w:hint="eastAsia" w:ascii="宋体" w:hAnsi="宋体" w:cs="宋体"/>
          <w:bCs/>
          <w:color w:val="000000"/>
          <w:sz w:val="24"/>
          <w:szCs w:val="24"/>
          <w:lang w:val="zh-CN"/>
        </w:rPr>
      </w:pPr>
      <w:r>
        <w:rPr>
          <w:rFonts w:hint="eastAsia" w:ascii="宋体" w:hAnsi="宋体" w:cs="宋体"/>
          <w:bCs/>
          <w:color w:val="000000"/>
          <w:sz w:val="24"/>
          <w:szCs w:val="24"/>
          <w:lang w:val="zh-CN"/>
        </w:rPr>
        <w:t>12.我方保证严格遵守《中华人民共和国政府采购法》的有关规定，若有下列情形之一的，我方将被处不予退还投标保证金，列入不良行为记录名单，在一至三年内禁止参加政府采购活动，并予以公告：</w:t>
      </w:r>
    </w:p>
    <w:p w14:paraId="72C1D459">
      <w:pPr>
        <w:autoSpaceDE w:val="0"/>
        <w:autoSpaceDN w:val="0"/>
        <w:adjustRightInd w:val="0"/>
        <w:ind w:firstLine="480"/>
        <w:rPr>
          <w:rFonts w:hint="eastAsia" w:ascii="宋体" w:hAnsi="宋体" w:cs="宋体"/>
          <w:bCs/>
          <w:color w:val="000000"/>
          <w:sz w:val="24"/>
          <w:szCs w:val="24"/>
          <w:lang w:val="zh-CN"/>
        </w:rPr>
      </w:pPr>
      <w:r>
        <w:rPr>
          <w:rFonts w:hint="eastAsia" w:ascii="宋体" w:hAnsi="宋体" w:cs="宋体"/>
          <w:bCs/>
          <w:color w:val="000000"/>
          <w:sz w:val="24"/>
          <w:szCs w:val="24"/>
          <w:lang w:val="zh-CN"/>
        </w:rPr>
        <w:t>（1）提供虚假材料谋取中标、成交的；</w:t>
      </w:r>
    </w:p>
    <w:p w14:paraId="10FC403D">
      <w:pPr>
        <w:autoSpaceDE w:val="0"/>
        <w:autoSpaceDN w:val="0"/>
        <w:adjustRightInd w:val="0"/>
        <w:ind w:firstLine="480"/>
        <w:rPr>
          <w:rFonts w:hint="eastAsia" w:ascii="宋体" w:hAnsi="宋体" w:cs="宋体"/>
          <w:bCs/>
          <w:color w:val="000000"/>
          <w:sz w:val="24"/>
          <w:szCs w:val="24"/>
          <w:lang w:val="zh-CN"/>
        </w:rPr>
      </w:pPr>
      <w:r>
        <w:rPr>
          <w:rFonts w:hint="eastAsia" w:ascii="宋体" w:hAnsi="宋体" w:cs="宋体"/>
          <w:bCs/>
          <w:color w:val="000000"/>
          <w:sz w:val="24"/>
          <w:szCs w:val="24"/>
          <w:lang w:val="zh-CN"/>
        </w:rPr>
        <w:t>（2）采取不正当手段诋毁、排挤其他投标人的；</w:t>
      </w:r>
    </w:p>
    <w:p w14:paraId="383918D6">
      <w:pPr>
        <w:autoSpaceDE w:val="0"/>
        <w:autoSpaceDN w:val="0"/>
        <w:adjustRightInd w:val="0"/>
        <w:ind w:firstLine="480"/>
        <w:rPr>
          <w:rFonts w:hint="eastAsia" w:ascii="宋体" w:hAnsi="宋体" w:cs="宋体"/>
          <w:bCs/>
          <w:color w:val="000000"/>
          <w:sz w:val="24"/>
          <w:szCs w:val="24"/>
          <w:lang w:val="zh-CN"/>
        </w:rPr>
      </w:pPr>
      <w:r>
        <w:rPr>
          <w:rFonts w:hint="eastAsia" w:ascii="宋体" w:hAnsi="宋体" w:cs="宋体"/>
          <w:bCs/>
          <w:color w:val="000000"/>
          <w:sz w:val="24"/>
          <w:szCs w:val="24"/>
          <w:lang w:val="zh-CN"/>
        </w:rPr>
        <w:t>（3）与其他投标人、招标机构或者采购人人员或者其他有关人员恶意串通的；</w:t>
      </w:r>
    </w:p>
    <w:p w14:paraId="017A97D2">
      <w:pPr>
        <w:autoSpaceDE w:val="0"/>
        <w:autoSpaceDN w:val="0"/>
        <w:adjustRightInd w:val="0"/>
        <w:ind w:firstLine="480"/>
        <w:rPr>
          <w:rFonts w:hint="eastAsia" w:ascii="宋体" w:hAnsi="宋体" w:cs="宋体"/>
          <w:bCs/>
          <w:color w:val="000000"/>
          <w:sz w:val="24"/>
          <w:szCs w:val="24"/>
          <w:lang w:val="zh-CN"/>
        </w:rPr>
      </w:pPr>
      <w:r>
        <w:rPr>
          <w:rFonts w:hint="eastAsia" w:ascii="宋体" w:hAnsi="宋体" w:cs="宋体"/>
          <w:bCs/>
          <w:color w:val="000000"/>
          <w:sz w:val="24"/>
          <w:szCs w:val="24"/>
          <w:lang w:val="zh-CN"/>
        </w:rPr>
        <w:t>（4）向评标委员会成员、招标机构或者采购人人员或者其他有关人员行贿或者提供其他不正当利益的；</w:t>
      </w:r>
    </w:p>
    <w:p w14:paraId="571F111B">
      <w:pPr>
        <w:autoSpaceDE w:val="0"/>
        <w:autoSpaceDN w:val="0"/>
        <w:adjustRightInd w:val="0"/>
        <w:ind w:firstLine="480"/>
        <w:rPr>
          <w:rFonts w:hint="eastAsia" w:ascii="宋体" w:hAnsi="宋体" w:cs="宋体"/>
          <w:bCs/>
          <w:color w:val="000000"/>
          <w:sz w:val="24"/>
          <w:szCs w:val="24"/>
          <w:lang w:val="zh-CN"/>
        </w:rPr>
      </w:pPr>
      <w:r>
        <w:rPr>
          <w:rFonts w:hint="eastAsia" w:ascii="宋体" w:hAnsi="宋体" w:cs="宋体"/>
          <w:bCs/>
          <w:color w:val="000000"/>
          <w:sz w:val="24"/>
          <w:szCs w:val="24"/>
          <w:lang w:val="zh-CN"/>
        </w:rPr>
        <w:t>（5）被评定中标后无正当理由不与采购人或者采购代理机构订立合同，或者中标后不按招标文件和中标供应商的投标文件订立合同，或者与采购人另行订立背离合同实质性内容的协议的；</w:t>
      </w:r>
    </w:p>
    <w:p w14:paraId="5DE00D07">
      <w:pPr>
        <w:autoSpaceDE w:val="0"/>
        <w:autoSpaceDN w:val="0"/>
        <w:adjustRightInd w:val="0"/>
        <w:ind w:firstLine="480"/>
        <w:rPr>
          <w:rFonts w:hint="eastAsia" w:ascii="宋体" w:hAnsi="宋体" w:cs="宋体"/>
          <w:bCs/>
          <w:color w:val="000000"/>
          <w:sz w:val="24"/>
          <w:szCs w:val="24"/>
          <w:lang w:val="zh-CN"/>
        </w:rPr>
      </w:pPr>
      <w:r>
        <w:rPr>
          <w:rFonts w:hint="eastAsia" w:ascii="宋体" w:hAnsi="宋体" w:cs="宋体"/>
          <w:bCs/>
          <w:color w:val="000000"/>
          <w:sz w:val="24"/>
          <w:szCs w:val="24"/>
          <w:lang w:val="zh-CN"/>
        </w:rPr>
        <w:t>（6）将中标项目转让给他人或者将中标项目分包给他人的；</w:t>
      </w:r>
    </w:p>
    <w:p w14:paraId="7760B123">
      <w:pPr>
        <w:autoSpaceDE w:val="0"/>
        <w:autoSpaceDN w:val="0"/>
        <w:adjustRightInd w:val="0"/>
        <w:ind w:firstLine="480"/>
        <w:rPr>
          <w:rFonts w:hint="eastAsia" w:ascii="宋体" w:hAnsi="宋体" w:cs="宋体"/>
          <w:bCs/>
          <w:color w:val="000000"/>
          <w:sz w:val="24"/>
          <w:szCs w:val="24"/>
          <w:lang w:val="zh-CN"/>
        </w:rPr>
      </w:pPr>
      <w:r>
        <w:rPr>
          <w:rFonts w:hint="eastAsia" w:ascii="宋体" w:hAnsi="宋体" w:cs="宋体"/>
          <w:bCs/>
          <w:color w:val="000000"/>
          <w:sz w:val="24"/>
          <w:szCs w:val="24"/>
          <w:lang w:val="zh-CN"/>
        </w:rPr>
        <w:t>（7）签订合同后拒绝履行合同义务的；</w:t>
      </w:r>
    </w:p>
    <w:p w14:paraId="5378859F">
      <w:pPr>
        <w:autoSpaceDE w:val="0"/>
        <w:autoSpaceDN w:val="0"/>
        <w:adjustRightInd w:val="0"/>
        <w:ind w:firstLine="480"/>
        <w:rPr>
          <w:rFonts w:hint="eastAsia" w:ascii="宋体" w:hAnsi="宋体" w:cs="宋体"/>
          <w:bCs/>
          <w:color w:val="000000"/>
          <w:sz w:val="24"/>
          <w:szCs w:val="24"/>
          <w:lang w:val="zh-CN"/>
        </w:rPr>
      </w:pPr>
      <w:r>
        <w:rPr>
          <w:rFonts w:hint="eastAsia" w:ascii="宋体" w:hAnsi="宋体" w:cs="宋体"/>
          <w:bCs/>
          <w:color w:val="000000"/>
          <w:sz w:val="24"/>
          <w:szCs w:val="24"/>
          <w:lang w:val="zh-CN"/>
        </w:rPr>
        <w:t>（8）拒绝有关部门监督检查或提供虚假情况的。</w:t>
      </w:r>
    </w:p>
    <w:p w14:paraId="51AB12FB">
      <w:pPr>
        <w:pStyle w:val="10"/>
        <w:rPr>
          <w:rFonts w:hint="eastAsia" w:hAnsi="宋体" w:cs="宋体"/>
          <w:b/>
          <w:bCs/>
          <w:sz w:val="24"/>
          <w:szCs w:val="24"/>
          <w:lang w:val="zh-CN"/>
        </w:rPr>
      </w:pPr>
    </w:p>
    <w:p w14:paraId="2B040871">
      <w:pPr>
        <w:pStyle w:val="10"/>
        <w:rPr>
          <w:rFonts w:hint="eastAsia" w:hAnsi="宋体" w:cs="宋体"/>
          <w:sz w:val="24"/>
          <w:szCs w:val="24"/>
          <w:u w:val="single"/>
        </w:rPr>
      </w:pPr>
      <w:r>
        <w:rPr>
          <w:rFonts w:hAnsi="宋体" w:cs="宋体"/>
          <w:sz w:val="24"/>
          <w:szCs w:val="24"/>
          <w:lang w:val="zh-CN"/>
        </w:rPr>
        <w:t>投标人</w:t>
      </w:r>
      <w:r>
        <w:rPr>
          <w:rFonts w:hint="eastAsia" w:hAnsi="宋体" w:cs="宋体"/>
          <w:sz w:val="24"/>
          <w:szCs w:val="24"/>
          <w:lang w:val="zh-CN"/>
        </w:rPr>
        <w:t>名称（盖章）</w:t>
      </w:r>
      <w:r>
        <w:rPr>
          <w:rFonts w:hAnsi="宋体" w:cs="宋体"/>
          <w:sz w:val="24"/>
          <w:szCs w:val="24"/>
          <w:lang w:val="zh-CN"/>
        </w:rPr>
        <w:t>：</w:t>
      </w:r>
      <w:r>
        <w:rPr>
          <w:rFonts w:hAnsi="宋体" w:cs="宋体"/>
          <w:sz w:val="24"/>
          <w:szCs w:val="24"/>
          <w:u w:val="single"/>
          <w:lang w:val="zh-CN"/>
        </w:rPr>
        <w:t xml:space="preserve">     </w:t>
      </w:r>
      <w:r>
        <w:rPr>
          <w:rFonts w:hint="eastAsia" w:hAnsi="宋体" w:cs="宋体"/>
          <w:sz w:val="24"/>
          <w:szCs w:val="24"/>
          <w:u w:val="single"/>
        </w:rPr>
        <w:t xml:space="preserve">              </w:t>
      </w:r>
    </w:p>
    <w:p w14:paraId="54C4A80C">
      <w:pPr>
        <w:pStyle w:val="10"/>
        <w:rPr>
          <w:rFonts w:hint="eastAsia" w:hAnsi="宋体" w:cs="宋体"/>
          <w:sz w:val="24"/>
          <w:szCs w:val="24"/>
          <w:u w:val="single"/>
        </w:rPr>
      </w:pPr>
      <w:r>
        <w:rPr>
          <w:rFonts w:hAnsi="宋体" w:cs="宋体"/>
          <w:sz w:val="24"/>
          <w:szCs w:val="24"/>
          <w:lang w:val="zh-CN"/>
        </w:rPr>
        <w:t>法定代表人</w:t>
      </w:r>
      <w:r>
        <w:rPr>
          <w:rFonts w:hint="eastAsia" w:hAnsi="宋体" w:cs="宋体"/>
          <w:sz w:val="24"/>
          <w:szCs w:val="24"/>
          <w:lang w:val="zh-CN"/>
        </w:rPr>
        <w:t>或授权代理人（盖章或签字）</w:t>
      </w:r>
      <w:r>
        <w:rPr>
          <w:rFonts w:hAnsi="宋体" w:cs="宋体"/>
          <w:sz w:val="24"/>
          <w:szCs w:val="24"/>
          <w:lang w:val="zh-CN"/>
        </w:rPr>
        <w:t>：</w:t>
      </w:r>
    </w:p>
    <w:p w14:paraId="176FBBC3">
      <w:pPr>
        <w:pStyle w:val="10"/>
        <w:rPr>
          <w:rFonts w:hint="eastAsia" w:hAnsi="宋体" w:cs="宋体"/>
          <w:sz w:val="24"/>
          <w:szCs w:val="24"/>
          <w:lang w:val="zh-CN"/>
        </w:rPr>
      </w:pPr>
      <w:r>
        <w:rPr>
          <w:rFonts w:hAnsi="宋体" w:cs="宋体"/>
          <w:sz w:val="24"/>
          <w:szCs w:val="24"/>
          <w:lang w:val="zh-CN"/>
        </w:rPr>
        <w:t>日 期：</w:t>
      </w:r>
      <w:r>
        <w:rPr>
          <w:rFonts w:hint="eastAsia" w:hAnsi="宋体" w:cs="宋体"/>
          <w:sz w:val="24"/>
          <w:szCs w:val="24"/>
          <w:u w:val="single"/>
        </w:rPr>
        <w:t xml:space="preserve">                                </w:t>
      </w:r>
      <w:r>
        <w:rPr>
          <w:rFonts w:hAnsi="宋体" w:cs="宋体"/>
          <w:sz w:val="24"/>
          <w:szCs w:val="24"/>
          <w:lang w:val="zh-CN"/>
        </w:rPr>
        <w:t xml:space="preserve">       </w:t>
      </w:r>
    </w:p>
    <w:p w14:paraId="3482F4CB">
      <w:pPr>
        <w:pStyle w:val="10"/>
        <w:rPr>
          <w:rFonts w:hint="eastAsia" w:hAnsi="宋体" w:cs="宋体"/>
          <w:sz w:val="24"/>
          <w:szCs w:val="24"/>
          <w:lang w:val="zh-CN"/>
        </w:rPr>
      </w:pPr>
      <w:r>
        <w:rPr>
          <w:rFonts w:hint="eastAsia" w:hAnsi="宋体" w:cs="宋体"/>
          <w:sz w:val="24"/>
          <w:szCs w:val="24"/>
          <w:lang w:val="zh-CN"/>
        </w:rPr>
        <w:t>地</w:t>
      </w:r>
      <w:r>
        <w:rPr>
          <w:rFonts w:hint="eastAsia" w:hAnsi="宋体" w:cs="宋体"/>
          <w:sz w:val="24"/>
          <w:szCs w:val="24"/>
        </w:rPr>
        <w:t xml:space="preserve"> </w:t>
      </w:r>
      <w:r>
        <w:rPr>
          <w:rFonts w:hint="eastAsia" w:hAnsi="宋体" w:cs="宋体"/>
          <w:sz w:val="24"/>
          <w:szCs w:val="24"/>
          <w:lang w:val="zh-CN"/>
        </w:rPr>
        <w:t>址：</w:t>
      </w:r>
      <w:r>
        <w:rPr>
          <w:rFonts w:hint="eastAsia" w:hAnsi="宋体" w:cs="宋体"/>
          <w:sz w:val="24"/>
          <w:szCs w:val="24"/>
          <w:u w:val="single"/>
        </w:rPr>
        <w:t xml:space="preserve">                                </w:t>
      </w:r>
      <w:r>
        <w:rPr>
          <w:rFonts w:hAnsi="宋体" w:cs="宋体"/>
          <w:sz w:val="24"/>
          <w:szCs w:val="24"/>
          <w:lang w:val="zh-CN"/>
        </w:rPr>
        <w:t xml:space="preserve">                                       </w:t>
      </w:r>
    </w:p>
    <w:p w14:paraId="1EF5D821">
      <w:pPr>
        <w:pStyle w:val="10"/>
        <w:rPr>
          <w:rFonts w:hint="eastAsia" w:hAnsi="宋体" w:cs="宋体"/>
          <w:sz w:val="24"/>
          <w:szCs w:val="24"/>
          <w:lang w:val="zh-CN"/>
        </w:rPr>
      </w:pPr>
      <w:r>
        <w:rPr>
          <w:rFonts w:hint="eastAsia" w:hAnsi="宋体" w:cs="宋体"/>
          <w:sz w:val="24"/>
          <w:szCs w:val="24"/>
          <w:lang w:val="zh-CN"/>
        </w:rPr>
        <w:t>电话、传真或电传：</w:t>
      </w:r>
      <w:r>
        <w:rPr>
          <w:rFonts w:hint="eastAsia" w:hAnsi="宋体" w:cs="宋体"/>
          <w:sz w:val="24"/>
          <w:szCs w:val="24"/>
          <w:u w:val="single"/>
        </w:rPr>
        <w:t xml:space="preserve">                     </w:t>
      </w:r>
      <w:r>
        <w:rPr>
          <w:rFonts w:hAnsi="宋体" w:cs="宋体"/>
          <w:sz w:val="24"/>
          <w:szCs w:val="24"/>
          <w:lang w:val="zh-CN"/>
        </w:rPr>
        <w:t xml:space="preserve">                           </w:t>
      </w:r>
    </w:p>
    <w:p w14:paraId="58712F4C">
      <w:pPr>
        <w:pStyle w:val="10"/>
        <w:rPr>
          <w:rFonts w:hint="eastAsia" w:hAnsi="宋体" w:cs="宋体"/>
          <w:b/>
          <w:bCs/>
          <w:sz w:val="24"/>
          <w:szCs w:val="24"/>
          <w:lang w:val="zh-CN"/>
        </w:rPr>
      </w:pPr>
      <w:r>
        <w:rPr>
          <w:rFonts w:hint="eastAsia" w:hAnsi="宋体" w:cs="宋体"/>
          <w:sz w:val="24"/>
          <w:szCs w:val="24"/>
          <w:lang w:val="zh-CN"/>
        </w:rPr>
        <w:t>邮政编码：</w:t>
      </w:r>
      <w:r>
        <w:rPr>
          <w:rFonts w:hint="eastAsia" w:hAnsi="宋体" w:cs="宋体"/>
          <w:sz w:val="24"/>
          <w:szCs w:val="24"/>
          <w:u w:val="single"/>
        </w:rPr>
        <w:t xml:space="preserve">                             </w:t>
      </w:r>
      <w:r>
        <w:rPr>
          <w:rFonts w:hAnsi="宋体" w:cs="宋体"/>
          <w:sz w:val="24"/>
          <w:szCs w:val="24"/>
          <w:lang w:val="zh-CN"/>
        </w:rPr>
        <w:t xml:space="preserve">    </w:t>
      </w:r>
      <w:r>
        <w:rPr>
          <w:rFonts w:hAnsi="宋体" w:cs="宋体"/>
          <w:b/>
          <w:bCs/>
          <w:sz w:val="24"/>
          <w:szCs w:val="24"/>
          <w:lang w:val="zh-CN"/>
        </w:rPr>
        <w:t xml:space="preserve">                              </w:t>
      </w:r>
    </w:p>
    <w:p w14:paraId="09305120">
      <w:pPr>
        <w:autoSpaceDE w:val="0"/>
        <w:autoSpaceDN w:val="0"/>
        <w:adjustRightInd w:val="0"/>
        <w:snapToGrid w:val="0"/>
        <w:spacing w:line="360" w:lineRule="auto"/>
        <w:rPr>
          <w:rFonts w:hint="eastAsia" w:ascii="宋体" w:hAnsi="宋体" w:cs="宋体"/>
          <w:b/>
          <w:sz w:val="24"/>
          <w:szCs w:val="24"/>
          <w:lang w:val="zh-CN"/>
        </w:rPr>
      </w:pPr>
    </w:p>
    <w:p w14:paraId="1DA4FC4A">
      <w:pPr>
        <w:autoSpaceDE w:val="0"/>
        <w:autoSpaceDN w:val="0"/>
        <w:adjustRightInd w:val="0"/>
        <w:rPr>
          <w:rFonts w:hint="eastAsia" w:ascii="宋体" w:hAnsi="宋体" w:cs="宋体"/>
          <w:bCs/>
          <w:color w:val="000000"/>
          <w:szCs w:val="21"/>
          <w:lang w:val="zh-CN"/>
        </w:rPr>
      </w:pPr>
    </w:p>
    <w:p w14:paraId="5D6F572E">
      <w:pPr>
        <w:autoSpaceDE w:val="0"/>
        <w:autoSpaceDN w:val="0"/>
        <w:adjustRightInd w:val="0"/>
        <w:rPr>
          <w:rFonts w:hint="eastAsia" w:ascii="宋体" w:hAnsi="宋体" w:cs="宋体"/>
          <w:bCs/>
          <w:color w:val="000000"/>
          <w:szCs w:val="21"/>
          <w:lang w:val="zh-CN"/>
        </w:rPr>
      </w:pPr>
    </w:p>
    <w:p w14:paraId="137077AD">
      <w:pPr>
        <w:autoSpaceDE w:val="0"/>
        <w:autoSpaceDN w:val="0"/>
        <w:adjustRightInd w:val="0"/>
        <w:rPr>
          <w:rFonts w:hint="eastAsia" w:ascii="宋体" w:hAnsi="宋体" w:cs="宋体"/>
          <w:bCs/>
          <w:color w:val="000000"/>
          <w:szCs w:val="21"/>
          <w:lang w:val="zh-CN"/>
        </w:rPr>
      </w:pPr>
    </w:p>
    <w:p w14:paraId="5CABD3E7">
      <w:pPr>
        <w:autoSpaceDE w:val="0"/>
        <w:autoSpaceDN w:val="0"/>
        <w:adjustRightInd w:val="0"/>
        <w:rPr>
          <w:rFonts w:hint="eastAsia" w:ascii="宋体" w:hAnsi="宋体" w:cs="宋体"/>
          <w:bCs/>
          <w:color w:val="000000"/>
          <w:szCs w:val="21"/>
          <w:lang w:val="zh-CN"/>
        </w:rPr>
        <w:sectPr>
          <w:footerReference r:id="rId17" w:type="first"/>
          <w:footerReference r:id="rId16" w:type="default"/>
          <w:pgSz w:w="11906" w:h="16838"/>
          <w:pgMar w:top="1440" w:right="1080" w:bottom="1440" w:left="1080" w:header="851" w:footer="737" w:gutter="0"/>
          <w:cols w:space="720" w:num="1"/>
          <w:titlePg/>
          <w:docGrid w:type="lines" w:linePitch="490" w:charSpace="0"/>
        </w:sectPr>
      </w:pPr>
    </w:p>
    <w:p w14:paraId="46ED3DA1">
      <w:pPr>
        <w:autoSpaceDE w:val="0"/>
        <w:autoSpaceDN w:val="0"/>
        <w:adjustRightInd w:val="0"/>
        <w:jc w:val="center"/>
        <w:rPr>
          <w:rFonts w:hint="eastAsia" w:ascii="宋体" w:hAnsi="宋体" w:cs="宋体"/>
          <w:b/>
          <w:bCs/>
          <w:color w:val="000000"/>
          <w:szCs w:val="21"/>
          <w:lang w:val="zh-CN"/>
        </w:rPr>
      </w:pPr>
    </w:p>
    <w:p w14:paraId="166214DE">
      <w:pPr>
        <w:autoSpaceDE w:val="0"/>
        <w:autoSpaceDN w:val="0"/>
        <w:adjustRightInd w:val="0"/>
        <w:jc w:val="center"/>
        <w:rPr>
          <w:rFonts w:hint="eastAsia" w:ascii="宋体" w:hAnsi="宋体" w:cs="宋体"/>
          <w:b/>
          <w:bCs/>
          <w:color w:val="000000"/>
          <w:sz w:val="28"/>
          <w:szCs w:val="28"/>
          <w:lang w:val="zh-CN"/>
        </w:rPr>
      </w:pPr>
      <w:r>
        <w:rPr>
          <w:rFonts w:hint="eastAsia" w:ascii="宋体" w:hAnsi="宋体" w:cs="宋体"/>
          <w:b/>
          <w:bCs/>
          <w:color w:val="000000"/>
          <w:sz w:val="28"/>
          <w:szCs w:val="28"/>
          <w:lang w:val="zh-CN"/>
        </w:rPr>
        <w:t>二、开标一览表</w:t>
      </w:r>
    </w:p>
    <w:p w14:paraId="4BC75826">
      <w:pPr>
        <w:autoSpaceDE w:val="0"/>
        <w:autoSpaceDN w:val="0"/>
        <w:adjustRightInd w:val="0"/>
        <w:rPr>
          <w:rFonts w:hint="eastAsia" w:ascii="宋体" w:hAnsi="宋体" w:cs="宋体"/>
          <w:bCs/>
          <w:color w:val="000000"/>
          <w:szCs w:val="21"/>
          <w:lang w:val="zh-CN"/>
        </w:rPr>
      </w:pPr>
    </w:p>
    <w:p w14:paraId="398D78EE">
      <w:pPr>
        <w:autoSpaceDE w:val="0"/>
        <w:autoSpaceDN w:val="0"/>
        <w:adjustRightInd w:val="0"/>
        <w:ind w:firstLine="240" w:firstLineChars="100"/>
        <w:jc w:val="left"/>
        <w:rPr>
          <w:rFonts w:hint="eastAsia" w:ascii="宋体" w:hAnsi="宋体" w:cs="宋体"/>
          <w:bCs/>
          <w:color w:val="000000"/>
          <w:sz w:val="24"/>
          <w:szCs w:val="24"/>
          <w:lang w:val="zh-CN"/>
        </w:rPr>
      </w:pPr>
      <w:r>
        <w:rPr>
          <w:rFonts w:hint="eastAsia" w:ascii="宋体" w:hAnsi="宋体" w:cs="宋体"/>
          <w:bCs/>
          <w:color w:val="000000"/>
          <w:sz w:val="24"/>
          <w:szCs w:val="24"/>
          <w:lang w:val="zh-CN"/>
        </w:rPr>
        <w:t>项目名称：</w:t>
      </w:r>
    </w:p>
    <w:p w14:paraId="0365151C">
      <w:pPr>
        <w:autoSpaceDE w:val="0"/>
        <w:autoSpaceDN w:val="0"/>
        <w:adjustRightInd w:val="0"/>
        <w:ind w:firstLine="240" w:firstLineChars="100"/>
        <w:jc w:val="left"/>
        <w:rPr>
          <w:rFonts w:hint="eastAsia" w:ascii="宋体" w:hAnsi="宋体" w:cs="宋体"/>
          <w:bCs/>
          <w:color w:val="000000"/>
          <w:sz w:val="24"/>
          <w:szCs w:val="24"/>
          <w:lang w:val="zh-CN"/>
        </w:rPr>
      </w:pPr>
      <w:r>
        <w:rPr>
          <w:rFonts w:hint="eastAsia" w:ascii="宋体" w:hAnsi="宋体" w:cs="宋体"/>
          <w:bCs/>
          <w:color w:val="000000"/>
          <w:sz w:val="24"/>
          <w:szCs w:val="24"/>
          <w:lang w:val="zh-CN"/>
        </w:rPr>
        <w:t>项目编号：</w:t>
      </w:r>
    </w:p>
    <w:p w14:paraId="57E7940F">
      <w:pPr>
        <w:autoSpaceDE w:val="0"/>
        <w:autoSpaceDN w:val="0"/>
        <w:adjustRightInd w:val="0"/>
        <w:ind w:firstLine="240" w:firstLineChars="100"/>
        <w:jc w:val="left"/>
        <w:rPr>
          <w:rFonts w:hint="eastAsia" w:ascii="宋体" w:hAnsi="宋体" w:cs="宋体"/>
          <w:bCs/>
          <w:color w:val="000000"/>
          <w:sz w:val="24"/>
          <w:szCs w:val="24"/>
          <w:u w:val="single"/>
          <w:lang w:val="zh-CN"/>
        </w:rPr>
      </w:pPr>
      <w:r>
        <w:rPr>
          <w:rFonts w:hint="eastAsia" w:ascii="宋体" w:hAnsi="宋体" w:cs="宋体"/>
          <w:bCs/>
          <w:color w:val="000000"/>
          <w:sz w:val="24"/>
          <w:szCs w:val="24"/>
          <w:lang w:val="zh-CN"/>
        </w:rPr>
        <w:t>投标人名称（</w:t>
      </w:r>
      <w:r>
        <w:rPr>
          <w:rFonts w:hint="eastAsia" w:ascii="宋体" w:hAnsi="宋体" w:cs="宋体"/>
          <w:color w:val="000000"/>
          <w:kern w:val="0"/>
          <w:sz w:val="24"/>
          <w:szCs w:val="24"/>
          <w:lang w:bidi="ar"/>
        </w:rPr>
        <w:t>加盖公章</w:t>
      </w:r>
      <w:r>
        <w:rPr>
          <w:rFonts w:hint="eastAsia" w:ascii="宋体" w:hAnsi="宋体" w:cs="宋体"/>
          <w:bCs/>
          <w:color w:val="000000"/>
          <w:sz w:val="24"/>
          <w:szCs w:val="24"/>
          <w:lang w:val="zh-CN"/>
        </w:rPr>
        <w:t>）：</w:t>
      </w:r>
    </w:p>
    <w:p w14:paraId="6A27E8D3">
      <w:pPr>
        <w:autoSpaceDE w:val="0"/>
        <w:autoSpaceDN w:val="0"/>
        <w:adjustRightInd w:val="0"/>
        <w:ind w:firstLine="240" w:firstLineChars="100"/>
        <w:jc w:val="left"/>
        <w:rPr>
          <w:rFonts w:hint="eastAsia" w:ascii="宋体" w:hAnsi="宋体" w:cs="宋体"/>
          <w:bCs/>
          <w:color w:val="000000"/>
          <w:sz w:val="24"/>
          <w:szCs w:val="24"/>
          <w:lang w:val="zh-CN"/>
        </w:rPr>
      </w:pPr>
      <w:r>
        <w:rPr>
          <w:rFonts w:hint="eastAsia" w:ascii="宋体" w:hAnsi="宋体" w:cs="宋体"/>
          <w:bCs/>
          <w:color w:val="000000"/>
          <w:sz w:val="24"/>
          <w:szCs w:val="24"/>
          <w:lang w:val="zh-CN"/>
        </w:rPr>
        <w:t>法定代表人或授权代理人（签字）：</w:t>
      </w:r>
    </w:p>
    <w:p w14:paraId="181BDDA4">
      <w:pPr>
        <w:autoSpaceDE w:val="0"/>
        <w:autoSpaceDN w:val="0"/>
        <w:adjustRightInd w:val="0"/>
        <w:ind w:right="480" w:firstLine="240" w:firstLineChars="100"/>
        <w:jc w:val="left"/>
        <w:rPr>
          <w:rFonts w:hint="eastAsia" w:ascii="宋体" w:hAnsi="宋体" w:cs="宋体"/>
          <w:bCs/>
          <w:color w:val="000000"/>
          <w:sz w:val="24"/>
          <w:szCs w:val="24"/>
          <w:lang w:val="zh-CN"/>
        </w:rPr>
      </w:pPr>
      <w:r>
        <w:rPr>
          <w:rFonts w:hint="eastAsia" w:ascii="宋体" w:hAnsi="宋体" w:cs="宋体"/>
          <w:bCs/>
          <w:sz w:val="24"/>
          <w:szCs w:val="24"/>
          <w:lang w:val="zh-CN"/>
        </w:rPr>
        <w:t>开标时间：</w:t>
      </w:r>
      <w:r>
        <w:rPr>
          <w:rFonts w:hint="eastAsia" w:ascii="宋体" w:hAnsi="宋体" w:cs="宋体"/>
          <w:bCs/>
          <w:sz w:val="24"/>
          <w:szCs w:val="24"/>
          <w:u w:val="single"/>
        </w:rPr>
        <w:t xml:space="preserve">         </w:t>
      </w:r>
      <w:r>
        <w:rPr>
          <w:rFonts w:hint="eastAsia" w:ascii="宋体" w:hAnsi="宋体" w:cs="宋体"/>
          <w:bCs/>
          <w:sz w:val="24"/>
          <w:szCs w:val="24"/>
          <w:u w:val="single"/>
          <w:lang w:val="zh-CN"/>
        </w:rPr>
        <w:t>年</w:t>
      </w:r>
      <w:r>
        <w:rPr>
          <w:rFonts w:hint="eastAsia" w:ascii="宋体" w:hAnsi="宋体" w:cs="宋体"/>
          <w:bCs/>
          <w:sz w:val="24"/>
          <w:szCs w:val="24"/>
          <w:u w:val="single"/>
        </w:rPr>
        <w:t xml:space="preserve">  月  日   时   分</w:t>
      </w:r>
      <w:r>
        <w:rPr>
          <w:rFonts w:hint="eastAsia" w:ascii="宋体" w:hAnsi="宋体" w:cs="宋体"/>
          <w:bCs/>
          <w:sz w:val="24"/>
          <w:szCs w:val="24"/>
        </w:rPr>
        <w:t xml:space="preserve">            </w:t>
      </w:r>
      <w:r>
        <w:rPr>
          <w:rFonts w:hint="eastAsia" w:ascii="宋体" w:hAnsi="宋体" w:cs="宋体"/>
          <w:bCs/>
          <w:color w:val="000000"/>
          <w:sz w:val="24"/>
          <w:szCs w:val="24"/>
          <w:lang w:val="zh-CN"/>
        </w:rPr>
        <w:t xml:space="preserve">   </w:t>
      </w:r>
      <w:r>
        <w:rPr>
          <w:rFonts w:hint="eastAsia" w:ascii="宋体" w:hAnsi="宋体" w:cs="宋体"/>
          <w:bCs/>
          <w:color w:val="000000"/>
          <w:sz w:val="24"/>
          <w:szCs w:val="24"/>
        </w:rPr>
        <w:t xml:space="preserve">                                                 </w:t>
      </w:r>
      <w:r>
        <w:rPr>
          <w:rFonts w:hint="eastAsia" w:ascii="宋体" w:hAnsi="宋体" w:cs="宋体"/>
          <w:bCs/>
          <w:color w:val="000000"/>
          <w:sz w:val="24"/>
          <w:szCs w:val="24"/>
          <w:lang w:val="zh-CN"/>
        </w:rPr>
        <w:t xml:space="preserve">货币单位：万元                                                                         </w:t>
      </w:r>
    </w:p>
    <w:tbl>
      <w:tblPr>
        <w:tblStyle w:val="21"/>
        <w:tblW w:w="4998"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012"/>
        <w:gridCol w:w="3134"/>
        <w:gridCol w:w="3351"/>
        <w:gridCol w:w="2210"/>
        <w:gridCol w:w="2181"/>
      </w:tblGrid>
      <w:tr w14:paraId="68FC78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69" w:hRule="atLeast"/>
        </w:trPr>
        <w:tc>
          <w:tcPr>
            <w:tcW w:w="1347" w:type="pct"/>
            <w:vAlign w:val="center"/>
          </w:tcPr>
          <w:p w14:paraId="0012A124">
            <w:pPr>
              <w:widowControl/>
              <w:tabs>
                <w:tab w:val="left" w:pos="1197"/>
              </w:tabs>
              <w:autoSpaceDE w:val="0"/>
              <w:autoSpaceDN w:val="0"/>
              <w:ind w:right="215"/>
              <w:jc w:val="center"/>
              <w:textAlignment w:val="bottom"/>
              <w:rPr>
                <w:rFonts w:hint="eastAsia" w:ascii="宋体" w:hAnsi="宋体" w:cs="宋体"/>
                <w:bCs/>
                <w:color w:val="000000"/>
                <w:sz w:val="24"/>
                <w:szCs w:val="24"/>
                <w:lang w:val="zh-CN"/>
              </w:rPr>
            </w:pPr>
            <w:r>
              <w:rPr>
                <w:rFonts w:hint="eastAsia" w:ascii="宋体" w:hAnsi="宋体" w:cs="宋体"/>
                <w:bCs/>
                <w:color w:val="000000"/>
                <w:sz w:val="24"/>
                <w:szCs w:val="24"/>
                <w:lang w:val="zh-CN"/>
              </w:rPr>
              <w:t>投标人名称</w:t>
            </w:r>
          </w:p>
        </w:tc>
        <w:tc>
          <w:tcPr>
            <w:tcW w:w="1052" w:type="pct"/>
            <w:vAlign w:val="center"/>
          </w:tcPr>
          <w:p w14:paraId="65BC9D45">
            <w:pPr>
              <w:widowControl/>
              <w:tabs>
                <w:tab w:val="left" w:pos="1197"/>
              </w:tabs>
              <w:autoSpaceDE w:val="0"/>
              <w:autoSpaceDN w:val="0"/>
              <w:ind w:right="215"/>
              <w:jc w:val="center"/>
              <w:textAlignment w:val="bottom"/>
              <w:rPr>
                <w:rFonts w:hint="eastAsia" w:ascii="宋体" w:hAnsi="宋体" w:cs="宋体"/>
                <w:bCs/>
                <w:color w:val="000000"/>
                <w:sz w:val="24"/>
                <w:szCs w:val="24"/>
                <w:lang w:val="zh-CN"/>
              </w:rPr>
            </w:pPr>
            <w:r>
              <w:rPr>
                <w:rFonts w:hint="eastAsia" w:ascii="宋体" w:hAnsi="宋体" w:cs="宋体"/>
                <w:bCs/>
                <w:color w:val="000000"/>
                <w:sz w:val="24"/>
                <w:szCs w:val="24"/>
                <w:lang w:val="zh-CN"/>
              </w:rPr>
              <w:t>投标总报价</w:t>
            </w:r>
          </w:p>
        </w:tc>
        <w:tc>
          <w:tcPr>
            <w:tcW w:w="1125" w:type="pct"/>
            <w:vAlign w:val="center"/>
          </w:tcPr>
          <w:p w14:paraId="0FEA4CF1">
            <w:pPr>
              <w:widowControl/>
              <w:tabs>
                <w:tab w:val="left" w:pos="1197"/>
              </w:tabs>
              <w:autoSpaceDE w:val="0"/>
              <w:autoSpaceDN w:val="0"/>
              <w:ind w:right="215"/>
              <w:jc w:val="center"/>
              <w:textAlignment w:val="bottom"/>
              <w:rPr>
                <w:rFonts w:hint="eastAsia" w:ascii="宋体" w:hAnsi="宋体" w:cs="宋体"/>
                <w:bCs/>
                <w:color w:val="000000"/>
                <w:sz w:val="24"/>
                <w:szCs w:val="24"/>
                <w:lang w:val="zh-CN"/>
              </w:rPr>
            </w:pPr>
            <w:r>
              <w:rPr>
                <w:rFonts w:hint="eastAsia" w:ascii="宋体" w:hAnsi="宋体" w:cs="宋体"/>
                <w:bCs/>
                <w:color w:val="000000"/>
                <w:sz w:val="24"/>
                <w:szCs w:val="24"/>
                <w:lang w:val="zh-CN"/>
              </w:rPr>
              <w:t>是否提交投标保证金</w:t>
            </w:r>
          </w:p>
        </w:tc>
        <w:tc>
          <w:tcPr>
            <w:tcW w:w="742" w:type="pct"/>
            <w:vAlign w:val="center"/>
          </w:tcPr>
          <w:p w14:paraId="2A9677BE">
            <w:pPr>
              <w:widowControl/>
              <w:tabs>
                <w:tab w:val="left" w:pos="1197"/>
              </w:tabs>
              <w:autoSpaceDE w:val="0"/>
              <w:autoSpaceDN w:val="0"/>
              <w:ind w:right="215"/>
              <w:jc w:val="center"/>
              <w:textAlignment w:val="bottom"/>
              <w:rPr>
                <w:rFonts w:hint="eastAsia" w:ascii="宋体" w:hAnsi="宋体" w:cs="宋体"/>
                <w:bCs/>
                <w:color w:val="000000"/>
                <w:sz w:val="24"/>
                <w:szCs w:val="24"/>
                <w:lang w:val="zh-CN"/>
              </w:rPr>
            </w:pPr>
            <w:r>
              <w:rPr>
                <w:rFonts w:hint="eastAsia" w:ascii="宋体" w:hAnsi="宋体" w:cs="宋体"/>
                <w:bCs/>
                <w:color w:val="000000"/>
                <w:sz w:val="24"/>
                <w:szCs w:val="24"/>
                <w:lang w:val="zh-CN"/>
              </w:rPr>
              <w:t>合同履行期限</w:t>
            </w:r>
          </w:p>
        </w:tc>
        <w:tc>
          <w:tcPr>
            <w:tcW w:w="732" w:type="pct"/>
            <w:vAlign w:val="center"/>
          </w:tcPr>
          <w:p w14:paraId="697C84B8">
            <w:pPr>
              <w:widowControl/>
              <w:tabs>
                <w:tab w:val="left" w:pos="1197"/>
              </w:tabs>
              <w:autoSpaceDE w:val="0"/>
              <w:autoSpaceDN w:val="0"/>
              <w:ind w:right="215"/>
              <w:jc w:val="center"/>
              <w:textAlignment w:val="bottom"/>
              <w:rPr>
                <w:rFonts w:hint="eastAsia" w:ascii="宋体" w:hAnsi="宋体" w:cs="宋体"/>
                <w:bCs/>
                <w:color w:val="000000"/>
                <w:sz w:val="24"/>
                <w:szCs w:val="24"/>
                <w:lang w:val="zh-CN"/>
              </w:rPr>
            </w:pPr>
            <w:r>
              <w:rPr>
                <w:rFonts w:hint="eastAsia" w:ascii="宋体" w:hAnsi="宋体" w:cs="宋体"/>
                <w:bCs/>
                <w:color w:val="000000"/>
                <w:sz w:val="24"/>
                <w:szCs w:val="24"/>
                <w:lang w:val="zh-CN"/>
              </w:rPr>
              <w:t>备注</w:t>
            </w:r>
          </w:p>
        </w:tc>
      </w:tr>
      <w:tr w14:paraId="6D3D04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1347" w:type="pct"/>
            <w:vAlign w:val="center"/>
          </w:tcPr>
          <w:p w14:paraId="38B0A1BC">
            <w:pPr>
              <w:widowControl/>
              <w:tabs>
                <w:tab w:val="left" w:pos="1197"/>
              </w:tabs>
              <w:autoSpaceDE w:val="0"/>
              <w:autoSpaceDN w:val="0"/>
              <w:ind w:right="215"/>
              <w:jc w:val="center"/>
              <w:textAlignment w:val="bottom"/>
              <w:rPr>
                <w:rFonts w:hint="eastAsia" w:ascii="宋体" w:hAnsi="宋体" w:cs="宋体"/>
                <w:bCs/>
                <w:color w:val="000000"/>
                <w:sz w:val="24"/>
                <w:szCs w:val="24"/>
                <w:lang w:val="zh-CN"/>
              </w:rPr>
            </w:pPr>
          </w:p>
        </w:tc>
        <w:tc>
          <w:tcPr>
            <w:tcW w:w="1052" w:type="pct"/>
            <w:vAlign w:val="center"/>
          </w:tcPr>
          <w:p w14:paraId="6B39702D">
            <w:pPr>
              <w:widowControl/>
              <w:tabs>
                <w:tab w:val="left" w:pos="1197"/>
              </w:tabs>
              <w:autoSpaceDE w:val="0"/>
              <w:autoSpaceDN w:val="0"/>
              <w:ind w:right="215"/>
              <w:jc w:val="center"/>
              <w:textAlignment w:val="bottom"/>
              <w:rPr>
                <w:rFonts w:hint="eastAsia" w:ascii="宋体" w:hAnsi="宋体" w:cs="宋体"/>
                <w:bCs/>
                <w:color w:val="000000"/>
                <w:sz w:val="24"/>
                <w:szCs w:val="24"/>
                <w:lang w:val="zh-CN"/>
              </w:rPr>
            </w:pPr>
          </w:p>
        </w:tc>
        <w:tc>
          <w:tcPr>
            <w:tcW w:w="1125" w:type="pct"/>
            <w:vAlign w:val="center"/>
          </w:tcPr>
          <w:p w14:paraId="1591681C">
            <w:pPr>
              <w:widowControl/>
              <w:tabs>
                <w:tab w:val="left" w:pos="1197"/>
              </w:tabs>
              <w:autoSpaceDE w:val="0"/>
              <w:autoSpaceDN w:val="0"/>
              <w:ind w:right="215"/>
              <w:jc w:val="center"/>
              <w:textAlignment w:val="bottom"/>
              <w:rPr>
                <w:rFonts w:hint="eastAsia" w:ascii="宋体" w:hAnsi="宋体" w:cs="宋体"/>
                <w:bCs/>
                <w:color w:val="000000"/>
                <w:sz w:val="24"/>
                <w:szCs w:val="24"/>
                <w:lang w:val="zh-CN"/>
              </w:rPr>
            </w:pPr>
          </w:p>
        </w:tc>
        <w:tc>
          <w:tcPr>
            <w:tcW w:w="742" w:type="pct"/>
          </w:tcPr>
          <w:p w14:paraId="0653B418">
            <w:pPr>
              <w:widowControl/>
              <w:tabs>
                <w:tab w:val="left" w:pos="1197"/>
              </w:tabs>
              <w:autoSpaceDE w:val="0"/>
              <w:autoSpaceDN w:val="0"/>
              <w:ind w:right="215"/>
              <w:jc w:val="center"/>
              <w:textAlignment w:val="bottom"/>
              <w:rPr>
                <w:rFonts w:hint="eastAsia" w:ascii="宋体" w:hAnsi="宋体" w:cs="宋体"/>
                <w:bCs/>
                <w:color w:val="000000"/>
                <w:sz w:val="24"/>
                <w:szCs w:val="24"/>
                <w:lang w:val="zh-CN"/>
              </w:rPr>
            </w:pPr>
          </w:p>
        </w:tc>
        <w:tc>
          <w:tcPr>
            <w:tcW w:w="732" w:type="pct"/>
          </w:tcPr>
          <w:p w14:paraId="5430BFDB">
            <w:pPr>
              <w:widowControl/>
              <w:tabs>
                <w:tab w:val="left" w:pos="1197"/>
              </w:tabs>
              <w:autoSpaceDE w:val="0"/>
              <w:autoSpaceDN w:val="0"/>
              <w:ind w:right="215"/>
              <w:jc w:val="center"/>
              <w:textAlignment w:val="bottom"/>
              <w:rPr>
                <w:rFonts w:hint="eastAsia" w:ascii="宋体" w:hAnsi="宋体" w:cs="宋体"/>
                <w:bCs/>
                <w:color w:val="000000"/>
                <w:sz w:val="24"/>
                <w:szCs w:val="24"/>
                <w:lang w:val="zh-CN"/>
              </w:rPr>
            </w:pPr>
          </w:p>
        </w:tc>
      </w:tr>
    </w:tbl>
    <w:p w14:paraId="58EE4147">
      <w:pPr>
        <w:autoSpaceDE w:val="0"/>
        <w:autoSpaceDN w:val="0"/>
        <w:adjustRightInd w:val="0"/>
        <w:ind w:firstLine="360" w:firstLineChars="150"/>
        <w:rPr>
          <w:rFonts w:hint="eastAsia" w:ascii="宋体" w:hAnsi="宋体" w:cs="宋体"/>
          <w:bCs/>
          <w:color w:val="000000"/>
          <w:sz w:val="24"/>
          <w:szCs w:val="24"/>
          <w:lang w:val="zh-CN"/>
        </w:rPr>
      </w:pPr>
    </w:p>
    <w:p w14:paraId="474B371B">
      <w:pPr>
        <w:autoSpaceDE w:val="0"/>
        <w:autoSpaceDN w:val="0"/>
        <w:adjustRightInd w:val="0"/>
        <w:spacing w:line="360" w:lineRule="auto"/>
        <w:rPr>
          <w:rFonts w:hint="eastAsia" w:ascii="宋体" w:hAnsi="宋体" w:cs="宋体"/>
          <w:bCs/>
          <w:color w:val="000000"/>
          <w:sz w:val="24"/>
          <w:szCs w:val="24"/>
          <w:lang w:val="zh-CN"/>
        </w:rPr>
      </w:pPr>
      <w:r>
        <w:rPr>
          <w:rFonts w:hint="eastAsia" w:ascii="宋体" w:hAnsi="宋体" w:cs="宋体"/>
          <w:bCs/>
          <w:color w:val="000000"/>
          <w:sz w:val="24"/>
          <w:szCs w:val="24"/>
          <w:lang w:val="zh-CN"/>
        </w:rPr>
        <w:t>投标要求：</w:t>
      </w:r>
    </w:p>
    <w:p w14:paraId="2B8DD962">
      <w:pPr>
        <w:numPr>
          <w:ilvl w:val="0"/>
          <w:numId w:val="10"/>
        </w:numPr>
        <w:autoSpaceDE w:val="0"/>
        <w:autoSpaceDN w:val="0"/>
        <w:adjustRightInd w:val="0"/>
        <w:spacing w:line="360" w:lineRule="auto"/>
        <w:ind w:firstLine="480"/>
        <w:rPr>
          <w:rFonts w:hint="eastAsia" w:ascii="宋体" w:hAnsi="宋体" w:cs="宋体"/>
          <w:bCs/>
          <w:color w:val="000000"/>
          <w:sz w:val="24"/>
          <w:szCs w:val="24"/>
          <w:lang w:val="zh-CN"/>
        </w:rPr>
      </w:pPr>
      <w:r>
        <w:rPr>
          <w:rFonts w:hint="eastAsia" w:ascii="宋体" w:hAnsi="宋体" w:cs="宋体"/>
          <w:bCs/>
          <w:color w:val="000000"/>
          <w:sz w:val="24"/>
          <w:szCs w:val="24"/>
          <w:lang w:val="zh-CN"/>
        </w:rPr>
        <w:t>“开标一览表”用于开标时唱标使用。</w:t>
      </w:r>
    </w:p>
    <w:p w14:paraId="7BD93E85">
      <w:pPr>
        <w:autoSpaceDE w:val="0"/>
        <w:autoSpaceDN w:val="0"/>
        <w:adjustRightInd w:val="0"/>
        <w:spacing w:line="360" w:lineRule="auto"/>
        <w:ind w:firstLine="480" w:firstLineChars="200"/>
        <w:rPr>
          <w:rFonts w:hint="eastAsia" w:ascii="宋体" w:hAnsi="宋体" w:cs="宋体"/>
          <w:bCs/>
          <w:color w:val="000000"/>
          <w:sz w:val="24"/>
          <w:szCs w:val="24"/>
          <w:lang w:val="zh-CN"/>
        </w:rPr>
      </w:pPr>
      <w:r>
        <w:rPr>
          <w:rFonts w:hint="eastAsia" w:ascii="宋体" w:hAnsi="宋体" w:cs="宋体"/>
          <w:bCs/>
          <w:color w:val="000000"/>
          <w:sz w:val="24"/>
          <w:szCs w:val="24"/>
        </w:rPr>
        <w:t>2</w:t>
      </w:r>
      <w:r>
        <w:rPr>
          <w:rFonts w:hint="eastAsia" w:ascii="宋体" w:hAnsi="宋体" w:cs="宋体"/>
          <w:bCs/>
          <w:color w:val="000000"/>
          <w:sz w:val="24"/>
          <w:szCs w:val="24"/>
          <w:lang w:val="zh-CN"/>
        </w:rPr>
        <w:t>、“开标一览表”中各个栏目都必须完整、准确填写。开标时，“开标一览表”的所有内容都不允许补充或者修改。</w:t>
      </w:r>
    </w:p>
    <w:p w14:paraId="58405DD0">
      <w:pPr>
        <w:widowControl/>
        <w:tabs>
          <w:tab w:val="left" w:pos="525"/>
        </w:tabs>
        <w:autoSpaceDE w:val="0"/>
        <w:autoSpaceDN w:val="0"/>
        <w:spacing w:line="360" w:lineRule="auto"/>
        <w:ind w:right="1" w:firstLine="465"/>
        <w:textAlignment w:val="bottom"/>
        <w:rPr>
          <w:rFonts w:hint="eastAsia" w:ascii="宋体" w:hAnsi="宋体" w:cs="宋体"/>
          <w:bCs/>
          <w:color w:val="000000"/>
          <w:sz w:val="24"/>
          <w:szCs w:val="24"/>
          <w:lang w:val="zh-CN"/>
        </w:rPr>
      </w:pPr>
      <w:r>
        <w:rPr>
          <w:rFonts w:hint="eastAsia" w:ascii="宋体" w:hAnsi="宋体" w:cs="宋体"/>
          <w:bCs/>
          <w:color w:val="000000"/>
          <w:sz w:val="24"/>
          <w:szCs w:val="24"/>
        </w:rPr>
        <w:t>3</w:t>
      </w:r>
      <w:r>
        <w:rPr>
          <w:rFonts w:hint="eastAsia" w:ascii="宋体" w:hAnsi="宋体" w:cs="宋体"/>
          <w:bCs/>
          <w:color w:val="000000"/>
          <w:sz w:val="24"/>
          <w:szCs w:val="24"/>
          <w:lang w:val="zh-CN"/>
        </w:rPr>
        <w:t>、投标报价为货物送交合同指定的最终供货地点，含安装费等在内的综合价。</w:t>
      </w:r>
    </w:p>
    <w:p w14:paraId="385BEB2D">
      <w:pPr>
        <w:widowControl/>
        <w:tabs>
          <w:tab w:val="left" w:pos="525"/>
        </w:tabs>
        <w:autoSpaceDE w:val="0"/>
        <w:autoSpaceDN w:val="0"/>
        <w:spacing w:line="360" w:lineRule="auto"/>
        <w:ind w:right="1" w:firstLine="465"/>
        <w:textAlignment w:val="bottom"/>
        <w:rPr>
          <w:rFonts w:hint="eastAsia" w:ascii="宋体" w:hAnsi="宋体" w:cs="宋体"/>
          <w:bCs/>
          <w:color w:val="000000"/>
          <w:sz w:val="24"/>
          <w:szCs w:val="24"/>
          <w:lang w:val="zh-CN"/>
        </w:rPr>
      </w:pPr>
      <w:r>
        <w:rPr>
          <w:rFonts w:hint="eastAsia" w:ascii="宋体" w:hAnsi="宋体" w:cs="宋体"/>
          <w:bCs/>
          <w:color w:val="000000"/>
          <w:sz w:val="24"/>
          <w:szCs w:val="24"/>
        </w:rPr>
        <w:t>4</w:t>
      </w:r>
      <w:r>
        <w:rPr>
          <w:rFonts w:hint="eastAsia" w:ascii="宋体" w:hAnsi="宋体" w:cs="宋体"/>
          <w:bCs/>
          <w:color w:val="000000"/>
          <w:sz w:val="24"/>
          <w:szCs w:val="24"/>
          <w:lang w:val="zh-CN"/>
        </w:rPr>
        <w:t>、投标总价应包括如果授予合同将要缴纳的包括增值税在内的销售税和其他税。</w:t>
      </w:r>
    </w:p>
    <w:p w14:paraId="3959E56E">
      <w:pPr>
        <w:autoSpaceDE w:val="0"/>
        <w:autoSpaceDN w:val="0"/>
        <w:adjustRightInd w:val="0"/>
        <w:rPr>
          <w:rFonts w:hint="eastAsia" w:ascii="宋体" w:hAnsi="宋体" w:cs="宋体"/>
          <w:bCs/>
          <w:color w:val="000000"/>
          <w:szCs w:val="21"/>
          <w:lang w:val="zh-CN"/>
        </w:rPr>
      </w:pPr>
    </w:p>
    <w:p w14:paraId="48C37CC2">
      <w:pPr>
        <w:jc w:val="center"/>
        <w:rPr>
          <w:rFonts w:hint="eastAsia" w:ascii="宋体" w:hAnsi="宋体" w:cs="宋体"/>
          <w:b/>
          <w:color w:val="000000"/>
          <w:sz w:val="28"/>
          <w:szCs w:val="28"/>
        </w:rPr>
      </w:pPr>
    </w:p>
    <w:p w14:paraId="0E96097A">
      <w:pPr>
        <w:jc w:val="center"/>
        <w:rPr>
          <w:rFonts w:hint="eastAsia" w:ascii="宋体" w:hAnsi="宋体" w:cs="宋体"/>
          <w:b/>
          <w:color w:val="000000"/>
          <w:sz w:val="28"/>
          <w:szCs w:val="28"/>
        </w:rPr>
      </w:pPr>
    </w:p>
    <w:p w14:paraId="2CF64F7C"/>
    <w:p w14:paraId="00540A70">
      <w:pPr>
        <w:jc w:val="center"/>
        <w:rPr>
          <w:rFonts w:hint="eastAsia" w:ascii="宋体" w:hAnsi="宋体" w:cs="宋体"/>
          <w:b/>
          <w:color w:val="000000"/>
          <w:sz w:val="28"/>
          <w:szCs w:val="28"/>
        </w:rPr>
      </w:pPr>
    </w:p>
    <w:p w14:paraId="33211B9E">
      <w:pPr>
        <w:pStyle w:val="16"/>
      </w:pPr>
    </w:p>
    <w:p w14:paraId="182D4755">
      <w:pPr>
        <w:jc w:val="center"/>
        <w:rPr>
          <w:rFonts w:hint="eastAsia" w:ascii="宋体" w:hAnsi="宋体" w:cs="宋体"/>
          <w:b/>
          <w:color w:val="000000"/>
          <w:sz w:val="28"/>
          <w:szCs w:val="28"/>
        </w:rPr>
      </w:pPr>
      <w:r>
        <w:rPr>
          <w:rFonts w:hint="eastAsia" w:ascii="宋体" w:hAnsi="宋体" w:cs="宋体"/>
          <w:b/>
          <w:color w:val="000000"/>
          <w:sz w:val="28"/>
          <w:szCs w:val="28"/>
        </w:rPr>
        <w:t>三、投标报价明细表</w:t>
      </w:r>
    </w:p>
    <w:p w14:paraId="1C163BF5">
      <w:pPr>
        <w:jc w:val="center"/>
        <w:rPr>
          <w:rFonts w:hint="eastAsia" w:ascii="宋体" w:hAnsi="宋体" w:cs="宋体"/>
          <w:color w:val="000000"/>
          <w:szCs w:val="21"/>
        </w:rPr>
      </w:pPr>
    </w:p>
    <w:p w14:paraId="1C06E2B3">
      <w:pPr>
        <w:rPr>
          <w:rFonts w:hint="eastAsia" w:ascii="宋体" w:hAnsi="宋体" w:cs="宋体"/>
          <w:color w:val="000000"/>
          <w:szCs w:val="21"/>
        </w:rPr>
      </w:pPr>
    </w:p>
    <w:p w14:paraId="4F33A573">
      <w:pPr>
        <w:rPr>
          <w:rFonts w:hint="eastAsia" w:ascii="宋体" w:hAnsi="宋体" w:cs="宋体"/>
          <w:color w:val="000000"/>
          <w:sz w:val="24"/>
          <w:szCs w:val="24"/>
        </w:rPr>
      </w:pPr>
      <w:r>
        <w:rPr>
          <w:rFonts w:hint="eastAsia" w:ascii="宋体" w:hAnsi="宋体" w:cs="宋体"/>
          <w:color w:val="000000"/>
          <w:sz w:val="24"/>
          <w:szCs w:val="24"/>
        </w:rPr>
        <w:t>项目名称：                                 项目编号：                                                  单位：元人民币</w:t>
      </w:r>
    </w:p>
    <w:tbl>
      <w:tblPr>
        <w:tblStyle w:val="78"/>
        <w:tblW w:w="4997" w:type="pct"/>
        <w:tblInd w:w="0"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autofit"/>
        <w:tblCellMar>
          <w:top w:w="0" w:type="dxa"/>
          <w:left w:w="0" w:type="dxa"/>
          <w:bottom w:w="0" w:type="dxa"/>
          <w:right w:w="0" w:type="dxa"/>
        </w:tblCellMar>
      </w:tblPr>
      <w:tblGrid>
        <w:gridCol w:w="910"/>
        <w:gridCol w:w="2275"/>
        <w:gridCol w:w="1145"/>
        <w:gridCol w:w="1265"/>
        <w:gridCol w:w="1456"/>
        <w:gridCol w:w="1456"/>
        <w:gridCol w:w="1456"/>
        <w:gridCol w:w="1456"/>
        <w:gridCol w:w="989"/>
        <w:gridCol w:w="1025"/>
        <w:gridCol w:w="1242"/>
      </w:tblGrid>
      <w:tr w14:paraId="4C9B5B0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939" w:hRule="atLeast"/>
        </w:trPr>
        <w:tc>
          <w:tcPr>
            <w:tcW w:w="310" w:type="pct"/>
          </w:tcPr>
          <w:p w14:paraId="0B5EFE01">
            <w:pPr>
              <w:spacing w:line="251" w:lineRule="auto"/>
              <w:rPr>
                <w:rFonts w:hint="eastAsia" w:ascii="宋体" w:hAnsi="宋体" w:cs="宋体"/>
                <w:sz w:val="24"/>
                <w:szCs w:val="24"/>
              </w:rPr>
            </w:pPr>
          </w:p>
          <w:p w14:paraId="56431BF1">
            <w:pPr>
              <w:spacing w:before="78" w:line="222" w:lineRule="auto"/>
              <w:ind w:left="210"/>
              <w:rPr>
                <w:rFonts w:hint="eastAsia" w:ascii="宋体" w:hAnsi="宋体" w:cs="宋体"/>
                <w:sz w:val="24"/>
                <w:szCs w:val="24"/>
              </w:rPr>
            </w:pPr>
            <w:r>
              <w:rPr>
                <w:rFonts w:hint="eastAsia" w:ascii="宋体" w:hAnsi="宋体" w:cs="宋体"/>
                <w:spacing w:val="-3"/>
                <w:sz w:val="24"/>
                <w:szCs w:val="24"/>
                <w14:textOutline w14:w="1536" w14:cap="flat" w14:cmpd="sng" w14:algn="ctr">
                  <w14:solidFill>
                    <w14:srgbClr w14:val="000000"/>
                  </w14:solidFill>
                  <w14:prstDash w14:val="solid"/>
                  <w14:miter w14:val="0"/>
                </w14:textOutline>
              </w:rPr>
              <w:t>序</w:t>
            </w:r>
            <w:r>
              <w:rPr>
                <w:rFonts w:hint="eastAsia" w:ascii="宋体" w:hAnsi="宋体" w:cs="宋体"/>
                <w:spacing w:val="-2"/>
                <w:sz w:val="24"/>
                <w:szCs w:val="24"/>
                <w14:textOutline w14:w="1536" w14:cap="flat" w14:cmpd="sng" w14:algn="ctr">
                  <w14:solidFill>
                    <w14:srgbClr w14:val="000000"/>
                  </w14:solidFill>
                  <w14:prstDash w14:val="solid"/>
                  <w14:miter w14:val="0"/>
                </w14:textOutline>
              </w:rPr>
              <w:t>号</w:t>
            </w:r>
          </w:p>
        </w:tc>
        <w:tc>
          <w:tcPr>
            <w:tcW w:w="775" w:type="pct"/>
          </w:tcPr>
          <w:p w14:paraId="6793D380">
            <w:pPr>
              <w:spacing w:line="252" w:lineRule="auto"/>
              <w:rPr>
                <w:rFonts w:hint="eastAsia" w:ascii="宋体" w:hAnsi="宋体" w:cs="宋体"/>
                <w:sz w:val="24"/>
                <w:szCs w:val="24"/>
              </w:rPr>
            </w:pPr>
          </w:p>
          <w:p w14:paraId="2D25C55F">
            <w:pPr>
              <w:spacing w:before="78" w:line="221" w:lineRule="auto"/>
              <w:ind w:left="634"/>
              <w:rPr>
                <w:rFonts w:hint="eastAsia" w:ascii="宋体" w:hAnsi="宋体" w:cs="宋体"/>
                <w:sz w:val="24"/>
                <w:szCs w:val="24"/>
              </w:rPr>
            </w:pPr>
            <w:r>
              <w:rPr>
                <w:rFonts w:hint="eastAsia" w:ascii="宋体" w:hAnsi="宋体" w:cs="宋体"/>
                <w:spacing w:val="-4"/>
                <w:sz w:val="24"/>
                <w:szCs w:val="24"/>
                <w14:textOutline w14:w="1536" w14:cap="flat" w14:cmpd="sng" w14:algn="ctr">
                  <w14:solidFill>
                    <w14:srgbClr w14:val="000000"/>
                  </w14:solidFill>
                  <w14:prstDash w14:val="solid"/>
                  <w14:miter w14:val="0"/>
                </w14:textOutline>
              </w:rPr>
              <w:t>分</w:t>
            </w:r>
            <w:r>
              <w:rPr>
                <w:rFonts w:hint="eastAsia" w:ascii="宋体" w:hAnsi="宋体" w:cs="宋体"/>
                <w:spacing w:val="-2"/>
                <w:sz w:val="24"/>
                <w:szCs w:val="24"/>
                <w14:textOutline w14:w="1536" w14:cap="flat" w14:cmpd="sng" w14:algn="ctr">
                  <w14:solidFill>
                    <w14:srgbClr w14:val="000000"/>
                  </w14:solidFill>
                  <w14:prstDash w14:val="solid"/>
                  <w14:miter w14:val="0"/>
                </w14:textOutline>
              </w:rPr>
              <w:t>项名称</w:t>
            </w:r>
          </w:p>
        </w:tc>
        <w:tc>
          <w:tcPr>
            <w:tcW w:w="390" w:type="pct"/>
          </w:tcPr>
          <w:p w14:paraId="1D118842">
            <w:pPr>
              <w:spacing w:line="252" w:lineRule="auto"/>
              <w:rPr>
                <w:rFonts w:hint="eastAsia" w:ascii="宋体" w:hAnsi="宋体" w:cs="宋体"/>
                <w:sz w:val="24"/>
                <w:szCs w:val="24"/>
              </w:rPr>
            </w:pPr>
          </w:p>
          <w:p w14:paraId="44A50F0A">
            <w:pPr>
              <w:spacing w:before="78" w:line="221" w:lineRule="auto"/>
              <w:ind w:left="203"/>
              <w:rPr>
                <w:rFonts w:hint="eastAsia" w:ascii="宋体" w:hAnsi="宋体" w:cs="宋体"/>
                <w:sz w:val="24"/>
                <w:szCs w:val="24"/>
              </w:rPr>
            </w:pPr>
            <w:r>
              <w:rPr>
                <w:rFonts w:hint="eastAsia" w:ascii="宋体" w:hAnsi="宋体" w:cs="宋体"/>
                <w:spacing w:val="-4"/>
                <w:sz w:val="24"/>
                <w:szCs w:val="24"/>
                <w14:textOutline w14:w="1536" w14:cap="flat" w14:cmpd="sng" w14:algn="ctr">
                  <w14:solidFill>
                    <w14:srgbClr w14:val="000000"/>
                  </w14:solidFill>
                  <w14:prstDash w14:val="solid"/>
                  <w14:miter w14:val="0"/>
                </w14:textOutline>
              </w:rPr>
              <w:t>制</w:t>
            </w:r>
            <w:r>
              <w:rPr>
                <w:rFonts w:hint="eastAsia" w:ascii="宋体" w:hAnsi="宋体" w:cs="宋体"/>
                <w:spacing w:val="-2"/>
                <w:sz w:val="24"/>
                <w:szCs w:val="24"/>
                <w14:textOutline w14:w="1536" w14:cap="flat" w14:cmpd="sng" w14:algn="ctr">
                  <w14:solidFill>
                    <w14:srgbClr w14:val="000000"/>
                  </w14:solidFill>
                  <w14:prstDash w14:val="solid"/>
                  <w14:miter w14:val="0"/>
                </w14:textOutline>
              </w:rPr>
              <w:t>造商</w:t>
            </w:r>
          </w:p>
        </w:tc>
        <w:tc>
          <w:tcPr>
            <w:tcW w:w="431" w:type="pct"/>
          </w:tcPr>
          <w:p w14:paraId="0B3EBBEB">
            <w:pPr>
              <w:spacing w:before="100" w:line="381" w:lineRule="exact"/>
              <w:ind w:left="215"/>
              <w:rPr>
                <w:rFonts w:hint="eastAsia" w:ascii="宋体" w:hAnsi="宋体" w:cs="宋体"/>
                <w:sz w:val="24"/>
                <w:szCs w:val="24"/>
              </w:rPr>
            </w:pPr>
            <w:r>
              <w:rPr>
                <w:rFonts w:hint="eastAsia" w:ascii="宋体" w:hAnsi="宋体" w:cs="宋体"/>
                <w:spacing w:val="6"/>
                <w:position w:val="3"/>
                <w:sz w:val="24"/>
                <w:szCs w:val="24"/>
                <w14:textOutline w14:w="1536" w14:cap="flat" w14:cmpd="sng" w14:algn="ctr">
                  <w14:solidFill>
                    <w14:srgbClr w14:val="000000"/>
                  </w14:solidFill>
                  <w14:prstDash w14:val="solid"/>
                  <w14:miter w14:val="0"/>
                </w14:textOutline>
              </w:rPr>
              <w:t>产</w:t>
            </w:r>
            <w:r>
              <w:rPr>
                <w:rFonts w:hint="eastAsia" w:ascii="宋体" w:hAnsi="宋体" w:cs="宋体"/>
                <w:spacing w:val="3"/>
                <w:position w:val="3"/>
                <w:sz w:val="24"/>
                <w:szCs w:val="24"/>
                <w14:textOutline w14:w="1536" w14:cap="flat" w14:cmpd="sng" w14:algn="ctr">
                  <w14:solidFill>
                    <w14:srgbClr w14:val="000000"/>
                  </w14:solidFill>
                  <w14:prstDash w14:val="solid"/>
                  <w14:miter w14:val="0"/>
                </w14:textOutline>
              </w:rPr>
              <w:t>地</w:t>
            </w:r>
            <w:r>
              <w:rPr>
                <w:rFonts w:hint="eastAsia" w:ascii="宋体" w:hAnsi="宋体" w:cs="宋体"/>
                <w:b/>
                <w:bCs/>
                <w:spacing w:val="3"/>
                <w:position w:val="3"/>
                <w:sz w:val="24"/>
                <w:szCs w:val="24"/>
              </w:rPr>
              <w:t>/</w:t>
            </w:r>
            <w:r>
              <w:rPr>
                <w:rFonts w:hint="eastAsia" w:ascii="宋体" w:hAnsi="宋体" w:cs="宋体"/>
                <w:spacing w:val="3"/>
                <w:position w:val="3"/>
                <w:sz w:val="24"/>
                <w:szCs w:val="24"/>
                <w14:textOutline w14:w="1536" w14:cap="flat" w14:cmpd="sng" w14:algn="ctr">
                  <w14:solidFill>
                    <w14:srgbClr w14:val="000000"/>
                  </w14:solidFill>
                  <w14:prstDash w14:val="solid"/>
                  <w14:miter w14:val="0"/>
                </w14:textOutline>
              </w:rPr>
              <w:t>国</w:t>
            </w:r>
          </w:p>
          <w:p w14:paraId="00BBCC37">
            <w:pPr>
              <w:spacing w:before="5" w:line="221" w:lineRule="auto"/>
              <w:ind w:left="501"/>
              <w:rPr>
                <w:rFonts w:hint="eastAsia" w:ascii="宋体" w:hAnsi="宋体" w:cs="宋体"/>
                <w:sz w:val="24"/>
                <w:szCs w:val="24"/>
              </w:rPr>
            </w:pPr>
            <w:r>
              <w:rPr>
                <w:rFonts w:hint="eastAsia" w:ascii="宋体" w:hAnsi="宋体" w:cs="宋体"/>
                <w:sz w:val="24"/>
                <w:szCs w:val="24"/>
                <w14:textOutline w14:w="1536" w14:cap="flat" w14:cmpd="sng" w14:algn="ctr">
                  <w14:solidFill>
                    <w14:srgbClr w14:val="000000"/>
                  </w14:solidFill>
                  <w14:prstDash w14:val="solid"/>
                  <w14:miter w14:val="0"/>
                </w14:textOutline>
              </w:rPr>
              <w:t>别</w:t>
            </w:r>
          </w:p>
        </w:tc>
        <w:tc>
          <w:tcPr>
            <w:tcW w:w="496" w:type="pct"/>
          </w:tcPr>
          <w:p w14:paraId="3F96030B">
            <w:pPr>
              <w:spacing w:before="19" w:line="221" w:lineRule="auto"/>
              <w:ind w:left="353"/>
              <w:rPr>
                <w:rFonts w:hint="eastAsia" w:ascii="宋体" w:hAnsi="宋体" w:cs="宋体"/>
                <w:sz w:val="24"/>
                <w:szCs w:val="24"/>
              </w:rPr>
            </w:pPr>
            <w:r>
              <w:rPr>
                <w:rFonts w:hint="eastAsia" w:ascii="宋体" w:hAnsi="宋体" w:cs="宋体"/>
                <w:spacing w:val="-4"/>
                <w:sz w:val="24"/>
                <w:szCs w:val="24"/>
                <w14:textOutline w14:w="1536" w14:cap="flat" w14:cmpd="sng" w14:algn="ctr">
                  <w14:solidFill>
                    <w14:srgbClr w14:val="000000"/>
                  </w14:solidFill>
                  <w14:prstDash w14:val="solid"/>
                  <w14:miter w14:val="0"/>
                </w14:textOutline>
              </w:rPr>
              <w:t>制</w:t>
            </w:r>
            <w:r>
              <w:rPr>
                <w:rFonts w:hint="eastAsia" w:ascii="宋体" w:hAnsi="宋体" w:cs="宋体"/>
                <w:spacing w:val="-2"/>
                <w:sz w:val="24"/>
                <w:szCs w:val="24"/>
                <w14:textOutline w14:w="1536" w14:cap="flat" w14:cmpd="sng" w14:algn="ctr">
                  <w14:solidFill>
                    <w14:srgbClr w14:val="000000"/>
                  </w14:solidFill>
                  <w14:prstDash w14:val="solid"/>
                  <w14:miter w14:val="0"/>
                </w14:textOutline>
              </w:rPr>
              <w:t>造商</w:t>
            </w:r>
          </w:p>
          <w:p w14:paraId="78FF8526">
            <w:pPr>
              <w:spacing w:before="25" w:line="220" w:lineRule="auto"/>
              <w:ind w:left="238"/>
              <w:rPr>
                <w:rFonts w:hint="eastAsia" w:ascii="宋体" w:hAnsi="宋体" w:cs="宋体"/>
                <w:sz w:val="24"/>
                <w:szCs w:val="24"/>
              </w:rPr>
            </w:pPr>
            <w:r>
              <w:rPr>
                <w:rFonts w:hint="eastAsia" w:ascii="宋体" w:hAnsi="宋体" w:cs="宋体"/>
                <w:spacing w:val="-4"/>
                <w:sz w:val="24"/>
                <w:szCs w:val="24"/>
                <w14:textOutline w14:w="1536" w14:cap="flat" w14:cmpd="sng" w14:algn="ctr">
                  <w14:solidFill>
                    <w14:srgbClr w14:val="000000"/>
                  </w14:solidFill>
                  <w14:prstDash w14:val="solid"/>
                  <w14:miter w14:val="0"/>
                </w14:textOutline>
              </w:rPr>
              <w:t>统</w:t>
            </w:r>
            <w:r>
              <w:rPr>
                <w:rFonts w:hint="eastAsia" w:ascii="宋体" w:hAnsi="宋体" w:cs="宋体"/>
                <w:spacing w:val="-3"/>
                <w:sz w:val="24"/>
                <w:szCs w:val="24"/>
                <w14:textOutline w14:w="1536" w14:cap="flat" w14:cmpd="sng" w14:algn="ctr">
                  <w14:solidFill>
                    <w14:srgbClr w14:val="000000"/>
                  </w14:solidFill>
                  <w14:prstDash w14:val="solid"/>
                  <w14:miter w14:val="0"/>
                </w14:textOutline>
              </w:rPr>
              <w:t>一信用</w:t>
            </w:r>
          </w:p>
          <w:p w14:paraId="7DA40B65">
            <w:pPr>
              <w:spacing w:before="25" w:line="220" w:lineRule="auto"/>
              <w:ind w:left="471"/>
              <w:rPr>
                <w:rFonts w:hint="eastAsia" w:ascii="宋体" w:hAnsi="宋体" w:cs="宋体"/>
                <w:sz w:val="24"/>
                <w:szCs w:val="24"/>
              </w:rPr>
            </w:pPr>
            <w:r>
              <w:rPr>
                <w:rFonts w:hint="eastAsia" w:ascii="宋体" w:hAnsi="宋体" w:cs="宋体"/>
                <w:spacing w:val="-3"/>
                <w:sz w:val="24"/>
                <w:szCs w:val="24"/>
                <w14:textOutline w14:w="1536" w14:cap="flat" w14:cmpd="sng" w14:algn="ctr">
                  <w14:solidFill>
                    <w14:srgbClr w14:val="000000"/>
                  </w14:solidFill>
                  <w14:prstDash w14:val="solid"/>
                  <w14:miter w14:val="0"/>
                </w14:textOutline>
              </w:rPr>
              <w:t>代</w:t>
            </w:r>
            <w:r>
              <w:rPr>
                <w:rFonts w:hint="eastAsia" w:ascii="宋体" w:hAnsi="宋体" w:cs="宋体"/>
                <w:spacing w:val="-2"/>
                <w:sz w:val="24"/>
                <w:szCs w:val="24"/>
                <w14:textOutline w14:w="1536" w14:cap="flat" w14:cmpd="sng" w14:algn="ctr">
                  <w14:solidFill>
                    <w14:srgbClr w14:val="000000"/>
                  </w14:solidFill>
                  <w14:prstDash w14:val="solid"/>
                  <w14:miter w14:val="0"/>
                </w14:textOutline>
              </w:rPr>
              <w:t>码</w:t>
            </w:r>
          </w:p>
        </w:tc>
        <w:tc>
          <w:tcPr>
            <w:tcW w:w="496" w:type="pct"/>
          </w:tcPr>
          <w:p w14:paraId="195626FE">
            <w:pPr>
              <w:spacing w:before="176"/>
              <w:ind w:left="355"/>
              <w:rPr>
                <w:rFonts w:hint="eastAsia" w:ascii="宋体" w:hAnsi="宋体" w:cs="宋体"/>
                <w:sz w:val="24"/>
                <w:szCs w:val="24"/>
              </w:rPr>
            </w:pPr>
            <w:r>
              <w:rPr>
                <w:rFonts w:hint="eastAsia" w:ascii="宋体" w:hAnsi="宋体" w:cs="宋体"/>
                <w:spacing w:val="-4"/>
                <w:sz w:val="24"/>
                <w:szCs w:val="24"/>
                <w14:textOutline w14:w="1536" w14:cap="flat" w14:cmpd="sng" w14:algn="ctr">
                  <w14:solidFill>
                    <w14:srgbClr w14:val="000000"/>
                  </w14:solidFill>
                  <w14:prstDash w14:val="solid"/>
                  <w14:miter w14:val="0"/>
                </w14:textOutline>
              </w:rPr>
              <w:t>制</w:t>
            </w:r>
            <w:r>
              <w:rPr>
                <w:rFonts w:hint="eastAsia" w:ascii="宋体" w:hAnsi="宋体" w:cs="宋体"/>
                <w:spacing w:val="-2"/>
                <w:sz w:val="24"/>
                <w:szCs w:val="24"/>
                <w14:textOutline w14:w="1536" w14:cap="flat" w14:cmpd="sng" w14:algn="ctr">
                  <w14:solidFill>
                    <w14:srgbClr w14:val="000000"/>
                  </w14:solidFill>
                  <w14:prstDash w14:val="solid"/>
                  <w14:miter w14:val="0"/>
                </w14:textOutline>
              </w:rPr>
              <w:t>造商</w:t>
            </w:r>
          </w:p>
          <w:p w14:paraId="19229726">
            <w:pPr>
              <w:spacing w:line="220" w:lineRule="auto"/>
              <w:ind w:left="475"/>
              <w:rPr>
                <w:rFonts w:hint="eastAsia" w:ascii="宋体" w:hAnsi="宋体" w:cs="宋体"/>
                <w:sz w:val="24"/>
                <w:szCs w:val="24"/>
              </w:rPr>
            </w:pPr>
            <w:r>
              <w:rPr>
                <w:rFonts w:hint="eastAsia" w:ascii="宋体" w:hAnsi="宋体" w:cs="宋体"/>
                <w:spacing w:val="-4"/>
                <w:sz w:val="24"/>
                <w:szCs w:val="24"/>
                <w14:textOutline w14:w="1536" w14:cap="flat" w14:cmpd="sng" w14:algn="ctr">
                  <w14:solidFill>
                    <w14:srgbClr w14:val="000000"/>
                  </w14:solidFill>
                  <w14:prstDash w14:val="solid"/>
                  <w14:miter w14:val="0"/>
                </w14:textOutline>
              </w:rPr>
              <w:t>规</w:t>
            </w:r>
            <w:r>
              <w:rPr>
                <w:rFonts w:hint="eastAsia" w:ascii="宋体" w:hAnsi="宋体" w:cs="宋体"/>
                <w:spacing w:val="-2"/>
                <w:sz w:val="24"/>
                <w:szCs w:val="24"/>
                <w14:textOutline w14:w="1536" w14:cap="flat" w14:cmpd="sng" w14:algn="ctr">
                  <w14:solidFill>
                    <w14:srgbClr w14:val="000000"/>
                  </w14:solidFill>
                  <w14:prstDash w14:val="solid"/>
                  <w14:miter w14:val="0"/>
                </w14:textOutline>
              </w:rPr>
              <w:t>模</w:t>
            </w:r>
          </w:p>
        </w:tc>
        <w:tc>
          <w:tcPr>
            <w:tcW w:w="496" w:type="pct"/>
          </w:tcPr>
          <w:p w14:paraId="5F0D3B1C">
            <w:pPr>
              <w:spacing w:line="252" w:lineRule="auto"/>
              <w:rPr>
                <w:rFonts w:hint="eastAsia" w:ascii="宋体" w:hAnsi="宋体" w:cs="宋体"/>
                <w:sz w:val="24"/>
                <w:szCs w:val="24"/>
              </w:rPr>
            </w:pPr>
          </w:p>
          <w:p w14:paraId="19A184C1">
            <w:pPr>
              <w:spacing w:before="78" w:line="220" w:lineRule="auto"/>
              <w:ind w:left="492"/>
              <w:rPr>
                <w:rFonts w:hint="eastAsia" w:ascii="宋体" w:hAnsi="宋体" w:cs="宋体"/>
                <w:sz w:val="24"/>
                <w:szCs w:val="24"/>
              </w:rPr>
            </w:pPr>
            <w:r>
              <w:rPr>
                <w:rFonts w:hint="eastAsia" w:ascii="宋体" w:hAnsi="宋体" w:cs="宋体"/>
                <w:spacing w:val="-8"/>
                <w:sz w:val="24"/>
                <w:szCs w:val="24"/>
                <w14:textOutline w14:w="1536" w14:cap="flat" w14:cmpd="sng" w14:algn="ctr">
                  <w14:solidFill>
                    <w14:srgbClr w14:val="000000"/>
                  </w14:solidFill>
                  <w14:prstDash w14:val="solid"/>
                  <w14:miter w14:val="0"/>
                </w14:textOutline>
              </w:rPr>
              <w:t>品</w:t>
            </w:r>
            <w:r>
              <w:rPr>
                <w:rFonts w:hint="eastAsia" w:ascii="宋体" w:hAnsi="宋体" w:cs="宋体"/>
                <w:spacing w:val="-7"/>
                <w:sz w:val="24"/>
                <w:szCs w:val="24"/>
                <w14:textOutline w14:w="1536" w14:cap="flat" w14:cmpd="sng" w14:algn="ctr">
                  <w14:solidFill>
                    <w14:srgbClr w14:val="000000"/>
                  </w14:solidFill>
                  <w14:prstDash w14:val="solid"/>
                  <w14:miter w14:val="0"/>
                </w14:textOutline>
              </w:rPr>
              <w:t>牌</w:t>
            </w:r>
          </w:p>
        </w:tc>
        <w:tc>
          <w:tcPr>
            <w:tcW w:w="496" w:type="pct"/>
          </w:tcPr>
          <w:p w14:paraId="646EA2F3">
            <w:pPr>
              <w:spacing w:line="252" w:lineRule="auto"/>
              <w:rPr>
                <w:rFonts w:hint="eastAsia" w:ascii="宋体" w:hAnsi="宋体" w:cs="宋体"/>
                <w:sz w:val="24"/>
                <w:szCs w:val="24"/>
              </w:rPr>
            </w:pPr>
          </w:p>
          <w:p w14:paraId="036E1F05">
            <w:pPr>
              <w:spacing w:before="78" w:line="220" w:lineRule="auto"/>
              <w:ind w:left="120"/>
              <w:rPr>
                <w:rFonts w:hint="eastAsia" w:ascii="宋体" w:hAnsi="宋体" w:cs="宋体"/>
                <w:sz w:val="24"/>
                <w:szCs w:val="24"/>
              </w:rPr>
            </w:pPr>
            <w:r>
              <w:rPr>
                <w:rFonts w:hint="eastAsia" w:ascii="宋体" w:hAnsi="宋体" w:cs="宋体"/>
                <w:spacing w:val="-4"/>
                <w:sz w:val="24"/>
                <w:szCs w:val="24"/>
                <w14:textOutline w14:w="1536" w14:cap="flat" w14:cmpd="sng" w14:algn="ctr">
                  <w14:solidFill>
                    <w14:srgbClr w14:val="000000"/>
                  </w14:solidFill>
                  <w14:prstDash w14:val="solid"/>
                  <w14:miter w14:val="0"/>
                </w14:textOutline>
              </w:rPr>
              <w:t>规</w:t>
            </w:r>
            <w:r>
              <w:rPr>
                <w:rFonts w:hint="eastAsia" w:ascii="宋体" w:hAnsi="宋体" w:cs="宋体"/>
                <w:spacing w:val="-3"/>
                <w:sz w:val="24"/>
                <w:szCs w:val="24"/>
                <w14:textOutline w14:w="1536" w14:cap="flat" w14:cmpd="sng" w14:algn="ctr">
                  <w14:solidFill>
                    <w14:srgbClr w14:val="000000"/>
                  </w14:solidFill>
                  <w14:prstDash w14:val="solid"/>
                  <w14:miter w14:val="0"/>
                </w14:textOutline>
              </w:rPr>
              <w:t>格、型号</w:t>
            </w:r>
          </w:p>
        </w:tc>
        <w:tc>
          <w:tcPr>
            <w:tcW w:w="337" w:type="pct"/>
          </w:tcPr>
          <w:p w14:paraId="32A8B505">
            <w:pPr>
              <w:spacing w:before="176" w:line="255" w:lineRule="auto"/>
              <w:ind w:left="136" w:right="128" w:firstLine="115"/>
              <w:rPr>
                <w:rFonts w:hint="eastAsia" w:ascii="宋体" w:hAnsi="宋体" w:cs="宋体"/>
                <w:sz w:val="24"/>
                <w:szCs w:val="24"/>
              </w:rPr>
            </w:pPr>
            <w:r>
              <w:rPr>
                <w:rFonts w:hint="eastAsia" w:ascii="宋体" w:hAnsi="宋体" w:cs="宋体"/>
                <w:spacing w:val="-7"/>
                <w:sz w:val="24"/>
                <w:szCs w:val="24"/>
                <w14:textOutline w14:w="1536" w14:cap="flat" w14:cmpd="sng" w14:algn="ctr">
                  <w14:solidFill>
                    <w14:srgbClr w14:val="000000"/>
                  </w14:solidFill>
                  <w14:prstDash w14:val="solid"/>
                  <w14:miter w14:val="0"/>
                </w14:textOutline>
              </w:rPr>
              <w:t>单</w:t>
            </w:r>
            <w:r>
              <w:rPr>
                <w:rFonts w:hint="eastAsia" w:ascii="宋体" w:hAnsi="宋体" w:cs="宋体"/>
                <w:spacing w:val="-5"/>
                <w:sz w:val="24"/>
                <w:szCs w:val="24"/>
                <w14:textOutline w14:w="1536" w14:cap="flat" w14:cmpd="sng" w14:algn="ctr">
                  <w14:solidFill>
                    <w14:srgbClr w14:val="000000"/>
                  </w14:solidFill>
                  <w14:prstDash w14:val="solid"/>
                  <w14:miter w14:val="0"/>
                </w14:textOutline>
              </w:rPr>
              <w:t>价</w:t>
            </w:r>
            <w:r>
              <w:rPr>
                <w:rFonts w:hint="eastAsia" w:ascii="宋体" w:hAnsi="宋体" w:cs="宋体"/>
                <w:sz w:val="24"/>
                <w:szCs w:val="24"/>
              </w:rPr>
              <w:t xml:space="preserve"> </w:t>
            </w:r>
            <w:r>
              <w:rPr>
                <w:rFonts w:hint="eastAsia" w:ascii="宋体" w:hAnsi="宋体" w:cs="宋体"/>
                <w:spacing w:val="30"/>
                <w:sz w:val="24"/>
                <w:szCs w:val="24"/>
                <w14:textOutline w14:w="1536" w14:cap="flat" w14:cmpd="sng" w14:algn="ctr">
                  <w14:solidFill>
                    <w14:srgbClr w14:val="000000"/>
                  </w14:solidFill>
                  <w14:prstDash w14:val="solid"/>
                  <w14:miter w14:val="0"/>
                </w14:textOutline>
              </w:rPr>
              <w:t>(元)</w:t>
            </w:r>
          </w:p>
        </w:tc>
        <w:tc>
          <w:tcPr>
            <w:tcW w:w="346" w:type="pct"/>
          </w:tcPr>
          <w:p w14:paraId="0D354F1F">
            <w:pPr>
              <w:spacing w:line="252" w:lineRule="auto"/>
              <w:rPr>
                <w:rFonts w:hint="eastAsia" w:ascii="宋体" w:hAnsi="宋体" w:cs="宋体"/>
                <w:sz w:val="24"/>
                <w:szCs w:val="24"/>
              </w:rPr>
            </w:pPr>
          </w:p>
          <w:p w14:paraId="5129049E">
            <w:pPr>
              <w:spacing w:before="78" w:line="220" w:lineRule="auto"/>
              <w:ind w:left="255"/>
              <w:rPr>
                <w:rFonts w:hint="eastAsia" w:ascii="宋体" w:hAnsi="宋体" w:cs="宋体"/>
                <w:sz w:val="24"/>
                <w:szCs w:val="24"/>
              </w:rPr>
            </w:pPr>
            <w:r>
              <w:rPr>
                <w:rFonts w:hint="eastAsia" w:ascii="宋体" w:hAnsi="宋体" w:cs="宋体"/>
                <w:spacing w:val="-3"/>
                <w:sz w:val="24"/>
                <w:szCs w:val="24"/>
                <w14:textOutline w14:w="1536" w14:cap="flat" w14:cmpd="sng" w14:algn="ctr">
                  <w14:solidFill>
                    <w14:srgbClr w14:val="000000"/>
                  </w14:solidFill>
                  <w14:prstDash w14:val="solid"/>
                  <w14:miter w14:val="0"/>
                </w14:textOutline>
              </w:rPr>
              <w:t>数量</w:t>
            </w:r>
          </w:p>
        </w:tc>
        <w:tc>
          <w:tcPr>
            <w:tcW w:w="423" w:type="pct"/>
          </w:tcPr>
          <w:p w14:paraId="2DA30F9F">
            <w:pPr>
              <w:spacing w:line="252" w:lineRule="auto"/>
              <w:rPr>
                <w:rFonts w:hint="eastAsia" w:ascii="宋体" w:hAnsi="宋体" w:cs="宋体"/>
                <w:sz w:val="24"/>
                <w:szCs w:val="24"/>
              </w:rPr>
            </w:pPr>
          </w:p>
          <w:p w14:paraId="639B01A7">
            <w:pPr>
              <w:spacing w:before="78" w:line="219" w:lineRule="auto"/>
              <w:ind w:left="118"/>
              <w:rPr>
                <w:rFonts w:hint="eastAsia" w:ascii="宋体" w:hAnsi="宋体" w:cs="宋体"/>
                <w:sz w:val="24"/>
                <w:szCs w:val="24"/>
              </w:rPr>
            </w:pPr>
            <w:r>
              <w:rPr>
                <w:rFonts w:hint="eastAsia" w:ascii="宋体" w:hAnsi="宋体" w:cs="宋体"/>
                <w:spacing w:val="-1"/>
                <w:sz w:val="24"/>
                <w:szCs w:val="24"/>
                <w14:textOutline w14:w="1536" w14:cap="flat" w14:cmpd="sng" w14:algn="ctr">
                  <w14:solidFill>
                    <w14:srgbClr w14:val="000000"/>
                  </w14:solidFill>
                  <w14:prstDash w14:val="solid"/>
                  <w14:miter w14:val="0"/>
                </w14:textOutline>
              </w:rPr>
              <w:t>合价(元)</w:t>
            </w:r>
          </w:p>
        </w:tc>
      </w:tr>
      <w:tr w14:paraId="18E1C23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25" w:hRule="atLeast"/>
        </w:trPr>
        <w:tc>
          <w:tcPr>
            <w:tcW w:w="310" w:type="pct"/>
          </w:tcPr>
          <w:p w14:paraId="7F0002F1">
            <w:pPr>
              <w:spacing w:before="201" w:line="199" w:lineRule="auto"/>
              <w:ind w:left="391"/>
              <w:rPr>
                <w:rFonts w:hint="eastAsia" w:ascii="宋体" w:hAnsi="宋体" w:cs="宋体"/>
                <w:sz w:val="24"/>
                <w:szCs w:val="24"/>
              </w:rPr>
            </w:pPr>
            <w:r>
              <w:rPr>
                <w:rFonts w:hint="eastAsia" w:ascii="宋体" w:hAnsi="宋体" w:cs="宋体"/>
                <w:sz w:val="24"/>
                <w:szCs w:val="24"/>
              </w:rPr>
              <w:t>1</w:t>
            </w:r>
          </w:p>
        </w:tc>
        <w:tc>
          <w:tcPr>
            <w:tcW w:w="775" w:type="pct"/>
          </w:tcPr>
          <w:p w14:paraId="3E7DCADE">
            <w:pPr>
              <w:spacing w:line="333" w:lineRule="exact"/>
              <w:ind w:left="232"/>
              <w:jc w:val="center"/>
              <w:rPr>
                <w:rFonts w:hint="eastAsia" w:ascii="宋体" w:hAnsi="宋体" w:cs="宋体"/>
                <w:sz w:val="24"/>
                <w:szCs w:val="24"/>
              </w:rPr>
            </w:pPr>
          </w:p>
        </w:tc>
        <w:tc>
          <w:tcPr>
            <w:tcW w:w="390" w:type="pct"/>
          </w:tcPr>
          <w:p w14:paraId="7ADC6F1A">
            <w:pPr>
              <w:rPr>
                <w:rFonts w:hint="eastAsia" w:ascii="宋体" w:hAnsi="宋体" w:cs="宋体"/>
                <w:sz w:val="24"/>
                <w:szCs w:val="24"/>
              </w:rPr>
            </w:pPr>
          </w:p>
        </w:tc>
        <w:tc>
          <w:tcPr>
            <w:tcW w:w="431" w:type="pct"/>
          </w:tcPr>
          <w:p w14:paraId="759F2B15">
            <w:pPr>
              <w:rPr>
                <w:rFonts w:hint="eastAsia" w:ascii="宋体" w:hAnsi="宋体" w:cs="宋体"/>
                <w:sz w:val="24"/>
                <w:szCs w:val="24"/>
              </w:rPr>
            </w:pPr>
          </w:p>
        </w:tc>
        <w:tc>
          <w:tcPr>
            <w:tcW w:w="496" w:type="pct"/>
          </w:tcPr>
          <w:p w14:paraId="7644C188">
            <w:pPr>
              <w:rPr>
                <w:rFonts w:hint="eastAsia" w:ascii="宋体" w:hAnsi="宋体" w:cs="宋体"/>
                <w:sz w:val="24"/>
                <w:szCs w:val="24"/>
              </w:rPr>
            </w:pPr>
          </w:p>
        </w:tc>
        <w:tc>
          <w:tcPr>
            <w:tcW w:w="496" w:type="pct"/>
          </w:tcPr>
          <w:p w14:paraId="46C176D1">
            <w:pPr>
              <w:rPr>
                <w:rFonts w:hint="eastAsia" w:ascii="宋体" w:hAnsi="宋体" w:cs="宋体"/>
                <w:sz w:val="24"/>
                <w:szCs w:val="24"/>
              </w:rPr>
            </w:pPr>
          </w:p>
        </w:tc>
        <w:tc>
          <w:tcPr>
            <w:tcW w:w="496" w:type="pct"/>
          </w:tcPr>
          <w:p w14:paraId="06F805DF">
            <w:pPr>
              <w:rPr>
                <w:rFonts w:hint="eastAsia" w:ascii="宋体" w:hAnsi="宋体" w:cs="宋体"/>
                <w:sz w:val="24"/>
                <w:szCs w:val="24"/>
              </w:rPr>
            </w:pPr>
          </w:p>
        </w:tc>
        <w:tc>
          <w:tcPr>
            <w:tcW w:w="496" w:type="pct"/>
          </w:tcPr>
          <w:p w14:paraId="7405FC99">
            <w:pPr>
              <w:rPr>
                <w:rFonts w:hint="eastAsia" w:ascii="宋体" w:hAnsi="宋体" w:cs="宋体"/>
                <w:sz w:val="24"/>
                <w:szCs w:val="24"/>
              </w:rPr>
            </w:pPr>
          </w:p>
        </w:tc>
        <w:tc>
          <w:tcPr>
            <w:tcW w:w="337" w:type="pct"/>
          </w:tcPr>
          <w:p w14:paraId="24B86974">
            <w:pPr>
              <w:rPr>
                <w:rFonts w:hint="eastAsia" w:ascii="宋体" w:hAnsi="宋体" w:cs="宋体"/>
                <w:sz w:val="24"/>
                <w:szCs w:val="24"/>
              </w:rPr>
            </w:pPr>
          </w:p>
        </w:tc>
        <w:tc>
          <w:tcPr>
            <w:tcW w:w="346" w:type="pct"/>
          </w:tcPr>
          <w:p w14:paraId="51B241F5">
            <w:pPr>
              <w:rPr>
                <w:rFonts w:hint="eastAsia" w:ascii="宋体" w:hAnsi="宋体" w:cs="宋体"/>
                <w:sz w:val="24"/>
                <w:szCs w:val="24"/>
              </w:rPr>
            </w:pPr>
          </w:p>
        </w:tc>
        <w:tc>
          <w:tcPr>
            <w:tcW w:w="423" w:type="pct"/>
          </w:tcPr>
          <w:p w14:paraId="3E994466">
            <w:pPr>
              <w:rPr>
                <w:rFonts w:hint="eastAsia" w:ascii="宋体" w:hAnsi="宋体" w:cs="宋体"/>
                <w:sz w:val="24"/>
                <w:szCs w:val="24"/>
              </w:rPr>
            </w:pPr>
          </w:p>
        </w:tc>
      </w:tr>
      <w:tr w14:paraId="423563D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83" w:hRule="atLeast"/>
        </w:trPr>
        <w:tc>
          <w:tcPr>
            <w:tcW w:w="310" w:type="pct"/>
          </w:tcPr>
          <w:p w14:paraId="27E4848F">
            <w:pPr>
              <w:spacing w:before="46" w:line="201" w:lineRule="auto"/>
              <w:ind w:left="382"/>
              <w:rPr>
                <w:rFonts w:hint="eastAsia" w:ascii="宋体" w:hAnsi="宋体" w:cs="宋体"/>
                <w:sz w:val="24"/>
                <w:szCs w:val="24"/>
              </w:rPr>
            </w:pPr>
            <w:r>
              <w:rPr>
                <w:rFonts w:hint="eastAsia" w:ascii="宋体" w:hAnsi="宋体" w:cs="宋体"/>
                <w:spacing w:val="1"/>
                <w:sz w:val="24"/>
                <w:szCs w:val="24"/>
              </w:rPr>
              <w:t>2</w:t>
            </w:r>
          </w:p>
        </w:tc>
        <w:tc>
          <w:tcPr>
            <w:tcW w:w="775" w:type="pct"/>
          </w:tcPr>
          <w:p w14:paraId="04BE2DDB">
            <w:pPr>
              <w:spacing w:before="179" w:line="81" w:lineRule="exact"/>
              <w:ind w:left="889"/>
              <w:rPr>
                <w:rFonts w:hint="eastAsia" w:ascii="宋体" w:hAnsi="宋体" w:cs="宋体"/>
                <w:sz w:val="24"/>
                <w:szCs w:val="24"/>
              </w:rPr>
            </w:pPr>
          </w:p>
        </w:tc>
        <w:tc>
          <w:tcPr>
            <w:tcW w:w="390" w:type="pct"/>
          </w:tcPr>
          <w:p w14:paraId="0EF1DE1D">
            <w:pPr>
              <w:rPr>
                <w:rFonts w:hint="eastAsia" w:ascii="宋体" w:hAnsi="宋体" w:cs="宋体"/>
                <w:sz w:val="24"/>
                <w:szCs w:val="24"/>
              </w:rPr>
            </w:pPr>
          </w:p>
        </w:tc>
        <w:tc>
          <w:tcPr>
            <w:tcW w:w="431" w:type="pct"/>
          </w:tcPr>
          <w:p w14:paraId="6FE2B0CF">
            <w:pPr>
              <w:rPr>
                <w:rFonts w:hint="eastAsia" w:ascii="宋体" w:hAnsi="宋体" w:cs="宋体"/>
                <w:sz w:val="24"/>
                <w:szCs w:val="24"/>
              </w:rPr>
            </w:pPr>
          </w:p>
        </w:tc>
        <w:tc>
          <w:tcPr>
            <w:tcW w:w="496" w:type="pct"/>
          </w:tcPr>
          <w:p w14:paraId="66A5F0D4">
            <w:pPr>
              <w:rPr>
                <w:rFonts w:hint="eastAsia" w:ascii="宋体" w:hAnsi="宋体" w:cs="宋体"/>
                <w:sz w:val="24"/>
                <w:szCs w:val="24"/>
              </w:rPr>
            </w:pPr>
          </w:p>
        </w:tc>
        <w:tc>
          <w:tcPr>
            <w:tcW w:w="496" w:type="pct"/>
          </w:tcPr>
          <w:p w14:paraId="0714EA22">
            <w:pPr>
              <w:rPr>
                <w:rFonts w:hint="eastAsia" w:ascii="宋体" w:hAnsi="宋体" w:cs="宋体"/>
                <w:sz w:val="24"/>
                <w:szCs w:val="24"/>
              </w:rPr>
            </w:pPr>
          </w:p>
        </w:tc>
        <w:tc>
          <w:tcPr>
            <w:tcW w:w="496" w:type="pct"/>
          </w:tcPr>
          <w:p w14:paraId="4866CA28">
            <w:pPr>
              <w:rPr>
                <w:rFonts w:hint="eastAsia" w:ascii="宋体" w:hAnsi="宋体" w:cs="宋体"/>
                <w:sz w:val="24"/>
                <w:szCs w:val="24"/>
              </w:rPr>
            </w:pPr>
          </w:p>
        </w:tc>
        <w:tc>
          <w:tcPr>
            <w:tcW w:w="496" w:type="pct"/>
          </w:tcPr>
          <w:p w14:paraId="2A663607">
            <w:pPr>
              <w:rPr>
                <w:rFonts w:hint="eastAsia" w:ascii="宋体" w:hAnsi="宋体" w:cs="宋体"/>
                <w:sz w:val="24"/>
                <w:szCs w:val="24"/>
              </w:rPr>
            </w:pPr>
          </w:p>
        </w:tc>
        <w:tc>
          <w:tcPr>
            <w:tcW w:w="337" w:type="pct"/>
          </w:tcPr>
          <w:p w14:paraId="2E3367B0">
            <w:pPr>
              <w:rPr>
                <w:rFonts w:hint="eastAsia" w:ascii="宋体" w:hAnsi="宋体" w:cs="宋体"/>
                <w:sz w:val="24"/>
                <w:szCs w:val="24"/>
              </w:rPr>
            </w:pPr>
          </w:p>
        </w:tc>
        <w:tc>
          <w:tcPr>
            <w:tcW w:w="346" w:type="pct"/>
          </w:tcPr>
          <w:p w14:paraId="051D86CF">
            <w:pPr>
              <w:rPr>
                <w:rFonts w:hint="eastAsia" w:ascii="宋体" w:hAnsi="宋体" w:cs="宋体"/>
                <w:sz w:val="24"/>
                <w:szCs w:val="24"/>
              </w:rPr>
            </w:pPr>
          </w:p>
        </w:tc>
        <w:tc>
          <w:tcPr>
            <w:tcW w:w="423" w:type="pct"/>
          </w:tcPr>
          <w:p w14:paraId="58C96BB2">
            <w:pPr>
              <w:rPr>
                <w:rFonts w:hint="eastAsia" w:ascii="宋体" w:hAnsi="宋体" w:cs="宋体"/>
                <w:sz w:val="24"/>
                <w:szCs w:val="24"/>
              </w:rPr>
            </w:pPr>
          </w:p>
        </w:tc>
      </w:tr>
      <w:tr w14:paraId="086C43A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83" w:hRule="atLeast"/>
        </w:trPr>
        <w:tc>
          <w:tcPr>
            <w:tcW w:w="310" w:type="pct"/>
          </w:tcPr>
          <w:p w14:paraId="15449A62">
            <w:pPr>
              <w:spacing w:before="48" w:line="201" w:lineRule="auto"/>
              <w:ind w:left="383"/>
              <w:rPr>
                <w:rFonts w:hint="eastAsia" w:ascii="宋体" w:hAnsi="宋体" w:cs="宋体"/>
                <w:sz w:val="24"/>
                <w:szCs w:val="24"/>
              </w:rPr>
            </w:pPr>
            <w:r>
              <w:rPr>
                <w:rFonts w:hint="eastAsia" w:ascii="宋体" w:hAnsi="宋体" w:cs="宋体"/>
                <w:sz w:val="24"/>
                <w:szCs w:val="24"/>
              </w:rPr>
              <w:t>3</w:t>
            </w:r>
          </w:p>
        </w:tc>
        <w:tc>
          <w:tcPr>
            <w:tcW w:w="775" w:type="pct"/>
          </w:tcPr>
          <w:p w14:paraId="03E36292">
            <w:pPr>
              <w:spacing w:before="182" w:line="81" w:lineRule="exact"/>
              <w:ind w:left="889"/>
              <w:rPr>
                <w:rFonts w:hint="eastAsia" w:ascii="宋体" w:hAnsi="宋体" w:cs="宋体"/>
                <w:sz w:val="24"/>
                <w:szCs w:val="24"/>
              </w:rPr>
            </w:pPr>
          </w:p>
        </w:tc>
        <w:tc>
          <w:tcPr>
            <w:tcW w:w="390" w:type="pct"/>
          </w:tcPr>
          <w:p w14:paraId="45491AA9">
            <w:pPr>
              <w:rPr>
                <w:rFonts w:hint="eastAsia" w:ascii="宋体" w:hAnsi="宋体" w:cs="宋体"/>
                <w:sz w:val="24"/>
                <w:szCs w:val="24"/>
              </w:rPr>
            </w:pPr>
          </w:p>
        </w:tc>
        <w:tc>
          <w:tcPr>
            <w:tcW w:w="431" w:type="pct"/>
          </w:tcPr>
          <w:p w14:paraId="209091E6">
            <w:pPr>
              <w:rPr>
                <w:rFonts w:hint="eastAsia" w:ascii="宋体" w:hAnsi="宋体" w:cs="宋体"/>
                <w:sz w:val="24"/>
                <w:szCs w:val="24"/>
              </w:rPr>
            </w:pPr>
          </w:p>
        </w:tc>
        <w:tc>
          <w:tcPr>
            <w:tcW w:w="496" w:type="pct"/>
          </w:tcPr>
          <w:p w14:paraId="6539E97D">
            <w:pPr>
              <w:rPr>
                <w:rFonts w:hint="eastAsia" w:ascii="宋体" w:hAnsi="宋体" w:cs="宋体"/>
                <w:sz w:val="24"/>
                <w:szCs w:val="24"/>
              </w:rPr>
            </w:pPr>
          </w:p>
        </w:tc>
        <w:tc>
          <w:tcPr>
            <w:tcW w:w="496" w:type="pct"/>
          </w:tcPr>
          <w:p w14:paraId="79BF3E71">
            <w:pPr>
              <w:rPr>
                <w:rFonts w:hint="eastAsia" w:ascii="宋体" w:hAnsi="宋体" w:cs="宋体"/>
                <w:sz w:val="24"/>
                <w:szCs w:val="24"/>
              </w:rPr>
            </w:pPr>
          </w:p>
        </w:tc>
        <w:tc>
          <w:tcPr>
            <w:tcW w:w="496" w:type="pct"/>
          </w:tcPr>
          <w:p w14:paraId="38CB73AE">
            <w:pPr>
              <w:rPr>
                <w:rFonts w:hint="eastAsia" w:ascii="宋体" w:hAnsi="宋体" w:cs="宋体"/>
                <w:sz w:val="24"/>
                <w:szCs w:val="24"/>
              </w:rPr>
            </w:pPr>
          </w:p>
        </w:tc>
        <w:tc>
          <w:tcPr>
            <w:tcW w:w="496" w:type="pct"/>
          </w:tcPr>
          <w:p w14:paraId="7021B326">
            <w:pPr>
              <w:rPr>
                <w:rFonts w:hint="eastAsia" w:ascii="宋体" w:hAnsi="宋体" w:cs="宋体"/>
                <w:sz w:val="24"/>
                <w:szCs w:val="24"/>
              </w:rPr>
            </w:pPr>
          </w:p>
        </w:tc>
        <w:tc>
          <w:tcPr>
            <w:tcW w:w="337" w:type="pct"/>
          </w:tcPr>
          <w:p w14:paraId="57E2A9F2">
            <w:pPr>
              <w:rPr>
                <w:rFonts w:hint="eastAsia" w:ascii="宋体" w:hAnsi="宋体" w:cs="宋体"/>
                <w:sz w:val="24"/>
                <w:szCs w:val="24"/>
              </w:rPr>
            </w:pPr>
          </w:p>
        </w:tc>
        <w:tc>
          <w:tcPr>
            <w:tcW w:w="346" w:type="pct"/>
          </w:tcPr>
          <w:p w14:paraId="2D9E8D8B">
            <w:pPr>
              <w:rPr>
                <w:rFonts w:hint="eastAsia" w:ascii="宋体" w:hAnsi="宋体" w:cs="宋体"/>
                <w:sz w:val="24"/>
                <w:szCs w:val="24"/>
              </w:rPr>
            </w:pPr>
          </w:p>
        </w:tc>
        <w:tc>
          <w:tcPr>
            <w:tcW w:w="423" w:type="pct"/>
          </w:tcPr>
          <w:p w14:paraId="36A8E52A">
            <w:pPr>
              <w:rPr>
                <w:rFonts w:hint="eastAsia" w:ascii="宋体" w:hAnsi="宋体" w:cs="宋体"/>
                <w:sz w:val="24"/>
                <w:szCs w:val="24"/>
              </w:rPr>
            </w:pPr>
          </w:p>
        </w:tc>
      </w:tr>
      <w:tr w14:paraId="4F733C3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15" w:hRule="atLeast"/>
        </w:trPr>
        <w:tc>
          <w:tcPr>
            <w:tcW w:w="310" w:type="pct"/>
          </w:tcPr>
          <w:p w14:paraId="3C6CAE92">
            <w:pPr>
              <w:spacing w:before="52" w:line="199" w:lineRule="auto"/>
              <w:ind w:left="376"/>
              <w:rPr>
                <w:rFonts w:hint="eastAsia" w:ascii="宋体" w:hAnsi="宋体" w:cs="宋体"/>
                <w:sz w:val="24"/>
                <w:szCs w:val="24"/>
              </w:rPr>
            </w:pPr>
            <w:r>
              <w:rPr>
                <w:rFonts w:hint="eastAsia" w:ascii="宋体" w:hAnsi="宋体" w:cs="宋体"/>
                <w:spacing w:val="7"/>
                <w:sz w:val="24"/>
                <w:szCs w:val="24"/>
              </w:rPr>
              <w:t>4</w:t>
            </w:r>
          </w:p>
        </w:tc>
        <w:tc>
          <w:tcPr>
            <w:tcW w:w="775" w:type="pct"/>
          </w:tcPr>
          <w:p w14:paraId="3071DA67">
            <w:pPr>
              <w:spacing w:before="25" w:line="220" w:lineRule="auto"/>
              <w:ind w:left="634"/>
              <w:rPr>
                <w:rFonts w:hint="eastAsia" w:ascii="宋体" w:hAnsi="宋体" w:cs="宋体"/>
                <w:sz w:val="24"/>
                <w:szCs w:val="24"/>
              </w:rPr>
            </w:pPr>
          </w:p>
        </w:tc>
        <w:tc>
          <w:tcPr>
            <w:tcW w:w="390" w:type="pct"/>
          </w:tcPr>
          <w:p w14:paraId="1AD46036">
            <w:pPr>
              <w:rPr>
                <w:rFonts w:hint="eastAsia" w:ascii="宋体" w:hAnsi="宋体" w:cs="宋体"/>
                <w:sz w:val="24"/>
                <w:szCs w:val="24"/>
              </w:rPr>
            </w:pPr>
          </w:p>
        </w:tc>
        <w:tc>
          <w:tcPr>
            <w:tcW w:w="431" w:type="pct"/>
          </w:tcPr>
          <w:p w14:paraId="607BB355">
            <w:pPr>
              <w:rPr>
                <w:rFonts w:hint="eastAsia" w:ascii="宋体" w:hAnsi="宋体" w:cs="宋体"/>
                <w:sz w:val="24"/>
                <w:szCs w:val="24"/>
              </w:rPr>
            </w:pPr>
          </w:p>
        </w:tc>
        <w:tc>
          <w:tcPr>
            <w:tcW w:w="496" w:type="pct"/>
          </w:tcPr>
          <w:p w14:paraId="049BBB2B">
            <w:pPr>
              <w:rPr>
                <w:rFonts w:hint="eastAsia" w:ascii="宋体" w:hAnsi="宋体" w:cs="宋体"/>
                <w:sz w:val="24"/>
                <w:szCs w:val="24"/>
              </w:rPr>
            </w:pPr>
          </w:p>
        </w:tc>
        <w:tc>
          <w:tcPr>
            <w:tcW w:w="496" w:type="pct"/>
          </w:tcPr>
          <w:p w14:paraId="65681AB0">
            <w:pPr>
              <w:rPr>
                <w:rFonts w:hint="eastAsia" w:ascii="宋体" w:hAnsi="宋体" w:cs="宋体"/>
                <w:sz w:val="24"/>
                <w:szCs w:val="24"/>
              </w:rPr>
            </w:pPr>
          </w:p>
        </w:tc>
        <w:tc>
          <w:tcPr>
            <w:tcW w:w="496" w:type="pct"/>
          </w:tcPr>
          <w:p w14:paraId="65D4C95F">
            <w:pPr>
              <w:rPr>
                <w:rFonts w:hint="eastAsia" w:ascii="宋体" w:hAnsi="宋体" w:cs="宋体"/>
                <w:sz w:val="24"/>
                <w:szCs w:val="24"/>
              </w:rPr>
            </w:pPr>
          </w:p>
        </w:tc>
        <w:tc>
          <w:tcPr>
            <w:tcW w:w="496" w:type="pct"/>
          </w:tcPr>
          <w:p w14:paraId="2F3E2FE2">
            <w:pPr>
              <w:rPr>
                <w:rFonts w:hint="eastAsia" w:ascii="宋体" w:hAnsi="宋体" w:cs="宋体"/>
                <w:sz w:val="24"/>
                <w:szCs w:val="24"/>
              </w:rPr>
            </w:pPr>
          </w:p>
        </w:tc>
        <w:tc>
          <w:tcPr>
            <w:tcW w:w="337" w:type="pct"/>
          </w:tcPr>
          <w:p w14:paraId="7FBFB9EE">
            <w:pPr>
              <w:rPr>
                <w:rFonts w:hint="eastAsia" w:ascii="宋体" w:hAnsi="宋体" w:cs="宋体"/>
                <w:sz w:val="24"/>
                <w:szCs w:val="24"/>
              </w:rPr>
            </w:pPr>
          </w:p>
        </w:tc>
        <w:tc>
          <w:tcPr>
            <w:tcW w:w="346" w:type="pct"/>
          </w:tcPr>
          <w:p w14:paraId="794CCE94">
            <w:pPr>
              <w:rPr>
                <w:rFonts w:hint="eastAsia" w:ascii="宋体" w:hAnsi="宋体" w:cs="宋体"/>
                <w:sz w:val="24"/>
                <w:szCs w:val="24"/>
              </w:rPr>
            </w:pPr>
          </w:p>
        </w:tc>
        <w:tc>
          <w:tcPr>
            <w:tcW w:w="423" w:type="pct"/>
          </w:tcPr>
          <w:p w14:paraId="129DEBFE">
            <w:pPr>
              <w:rPr>
                <w:rFonts w:hint="eastAsia" w:ascii="宋体" w:hAnsi="宋体" w:cs="宋体"/>
                <w:sz w:val="24"/>
                <w:szCs w:val="24"/>
              </w:rPr>
            </w:pPr>
          </w:p>
        </w:tc>
      </w:tr>
      <w:tr w14:paraId="556DF56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14" w:hRule="atLeast"/>
        </w:trPr>
        <w:tc>
          <w:tcPr>
            <w:tcW w:w="310" w:type="pct"/>
          </w:tcPr>
          <w:p w14:paraId="12DA4574">
            <w:pPr>
              <w:spacing w:before="55" w:line="199" w:lineRule="auto"/>
              <w:ind w:left="383"/>
              <w:rPr>
                <w:rFonts w:hint="eastAsia" w:ascii="宋体" w:hAnsi="宋体" w:cs="宋体"/>
                <w:sz w:val="24"/>
                <w:szCs w:val="24"/>
              </w:rPr>
            </w:pPr>
            <w:r>
              <w:rPr>
                <w:rFonts w:hint="eastAsia" w:ascii="宋体" w:hAnsi="宋体" w:cs="宋体"/>
                <w:sz w:val="24"/>
                <w:szCs w:val="24"/>
              </w:rPr>
              <w:t>5</w:t>
            </w:r>
          </w:p>
        </w:tc>
        <w:tc>
          <w:tcPr>
            <w:tcW w:w="775" w:type="pct"/>
          </w:tcPr>
          <w:p w14:paraId="5AA73873">
            <w:pPr>
              <w:spacing w:before="26" w:line="221" w:lineRule="auto"/>
              <w:ind w:left="632"/>
              <w:rPr>
                <w:rFonts w:hint="eastAsia" w:ascii="宋体" w:hAnsi="宋体" w:cs="宋体"/>
                <w:sz w:val="24"/>
                <w:szCs w:val="24"/>
              </w:rPr>
            </w:pPr>
          </w:p>
        </w:tc>
        <w:tc>
          <w:tcPr>
            <w:tcW w:w="390" w:type="pct"/>
          </w:tcPr>
          <w:p w14:paraId="5C2D6E4A">
            <w:pPr>
              <w:rPr>
                <w:rFonts w:hint="eastAsia" w:ascii="宋体" w:hAnsi="宋体" w:cs="宋体"/>
                <w:sz w:val="24"/>
                <w:szCs w:val="24"/>
              </w:rPr>
            </w:pPr>
          </w:p>
        </w:tc>
        <w:tc>
          <w:tcPr>
            <w:tcW w:w="431" w:type="pct"/>
          </w:tcPr>
          <w:p w14:paraId="55ECF6E8">
            <w:pPr>
              <w:rPr>
                <w:rFonts w:hint="eastAsia" w:ascii="宋体" w:hAnsi="宋体" w:cs="宋体"/>
                <w:sz w:val="24"/>
                <w:szCs w:val="24"/>
              </w:rPr>
            </w:pPr>
          </w:p>
        </w:tc>
        <w:tc>
          <w:tcPr>
            <w:tcW w:w="496" w:type="pct"/>
          </w:tcPr>
          <w:p w14:paraId="7EC8FCF1">
            <w:pPr>
              <w:rPr>
                <w:rFonts w:hint="eastAsia" w:ascii="宋体" w:hAnsi="宋体" w:cs="宋体"/>
                <w:sz w:val="24"/>
                <w:szCs w:val="24"/>
              </w:rPr>
            </w:pPr>
          </w:p>
        </w:tc>
        <w:tc>
          <w:tcPr>
            <w:tcW w:w="496" w:type="pct"/>
          </w:tcPr>
          <w:p w14:paraId="7F9CA182">
            <w:pPr>
              <w:rPr>
                <w:rFonts w:hint="eastAsia" w:ascii="宋体" w:hAnsi="宋体" w:cs="宋体"/>
                <w:sz w:val="24"/>
                <w:szCs w:val="24"/>
              </w:rPr>
            </w:pPr>
          </w:p>
        </w:tc>
        <w:tc>
          <w:tcPr>
            <w:tcW w:w="496" w:type="pct"/>
          </w:tcPr>
          <w:p w14:paraId="36ECF116">
            <w:pPr>
              <w:rPr>
                <w:rFonts w:hint="eastAsia" w:ascii="宋体" w:hAnsi="宋体" w:cs="宋体"/>
                <w:sz w:val="24"/>
                <w:szCs w:val="24"/>
              </w:rPr>
            </w:pPr>
          </w:p>
        </w:tc>
        <w:tc>
          <w:tcPr>
            <w:tcW w:w="496" w:type="pct"/>
          </w:tcPr>
          <w:p w14:paraId="3AE9B262">
            <w:pPr>
              <w:rPr>
                <w:rFonts w:hint="eastAsia" w:ascii="宋体" w:hAnsi="宋体" w:cs="宋体"/>
                <w:sz w:val="24"/>
                <w:szCs w:val="24"/>
              </w:rPr>
            </w:pPr>
          </w:p>
        </w:tc>
        <w:tc>
          <w:tcPr>
            <w:tcW w:w="337" w:type="pct"/>
          </w:tcPr>
          <w:p w14:paraId="326D27D4">
            <w:pPr>
              <w:rPr>
                <w:rFonts w:hint="eastAsia" w:ascii="宋体" w:hAnsi="宋体" w:cs="宋体"/>
                <w:sz w:val="24"/>
                <w:szCs w:val="24"/>
              </w:rPr>
            </w:pPr>
          </w:p>
        </w:tc>
        <w:tc>
          <w:tcPr>
            <w:tcW w:w="346" w:type="pct"/>
          </w:tcPr>
          <w:p w14:paraId="209DBBC5">
            <w:pPr>
              <w:rPr>
                <w:rFonts w:hint="eastAsia" w:ascii="宋体" w:hAnsi="宋体" w:cs="宋体"/>
                <w:sz w:val="24"/>
                <w:szCs w:val="24"/>
              </w:rPr>
            </w:pPr>
          </w:p>
        </w:tc>
        <w:tc>
          <w:tcPr>
            <w:tcW w:w="423" w:type="pct"/>
          </w:tcPr>
          <w:p w14:paraId="5E39408B">
            <w:pPr>
              <w:rPr>
                <w:rFonts w:hint="eastAsia" w:ascii="宋体" w:hAnsi="宋体" w:cs="宋体"/>
                <w:sz w:val="24"/>
                <w:szCs w:val="24"/>
              </w:rPr>
            </w:pPr>
          </w:p>
        </w:tc>
      </w:tr>
      <w:tr w14:paraId="4F7D054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14" w:hRule="atLeast"/>
        </w:trPr>
        <w:tc>
          <w:tcPr>
            <w:tcW w:w="310" w:type="pct"/>
          </w:tcPr>
          <w:p w14:paraId="766B5EC1">
            <w:pPr>
              <w:spacing w:before="54" w:line="202" w:lineRule="auto"/>
              <w:ind w:left="381"/>
              <w:rPr>
                <w:rFonts w:hint="eastAsia" w:ascii="宋体" w:hAnsi="宋体" w:cs="宋体"/>
                <w:sz w:val="24"/>
                <w:szCs w:val="24"/>
              </w:rPr>
            </w:pPr>
            <w:r>
              <w:rPr>
                <w:rFonts w:hint="eastAsia" w:ascii="宋体" w:hAnsi="宋体" w:cs="宋体"/>
                <w:spacing w:val="2"/>
                <w:sz w:val="24"/>
                <w:szCs w:val="24"/>
              </w:rPr>
              <w:t>6</w:t>
            </w:r>
          </w:p>
        </w:tc>
        <w:tc>
          <w:tcPr>
            <w:tcW w:w="775" w:type="pct"/>
          </w:tcPr>
          <w:p w14:paraId="101F0E1F">
            <w:pPr>
              <w:spacing w:before="29" w:line="219" w:lineRule="auto"/>
              <w:ind w:left="155"/>
              <w:rPr>
                <w:rFonts w:hint="eastAsia" w:ascii="宋体" w:hAnsi="宋体" w:cs="宋体"/>
                <w:sz w:val="24"/>
                <w:szCs w:val="24"/>
              </w:rPr>
            </w:pPr>
          </w:p>
        </w:tc>
        <w:tc>
          <w:tcPr>
            <w:tcW w:w="390" w:type="pct"/>
          </w:tcPr>
          <w:p w14:paraId="126D866B">
            <w:pPr>
              <w:rPr>
                <w:rFonts w:hint="eastAsia" w:ascii="宋体" w:hAnsi="宋体" w:cs="宋体"/>
                <w:sz w:val="24"/>
                <w:szCs w:val="24"/>
              </w:rPr>
            </w:pPr>
          </w:p>
        </w:tc>
        <w:tc>
          <w:tcPr>
            <w:tcW w:w="431" w:type="pct"/>
          </w:tcPr>
          <w:p w14:paraId="0ECA7178">
            <w:pPr>
              <w:rPr>
                <w:rFonts w:hint="eastAsia" w:ascii="宋体" w:hAnsi="宋体" w:cs="宋体"/>
                <w:sz w:val="24"/>
                <w:szCs w:val="24"/>
              </w:rPr>
            </w:pPr>
          </w:p>
        </w:tc>
        <w:tc>
          <w:tcPr>
            <w:tcW w:w="496" w:type="pct"/>
          </w:tcPr>
          <w:p w14:paraId="076FBDB9">
            <w:pPr>
              <w:rPr>
                <w:rFonts w:hint="eastAsia" w:ascii="宋体" w:hAnsi="宋体" w:cs="宋体"/>
                <w:sz w:val="24"/>
                <w:szCs w:val="24"/>
              </w:rPr>
            </w:pPr>
          </w:p>
        </w:tc>
        <w:tc>
          <w:tcPr>
            <w:tcW w:w="496" w:type="pct"/>
          </w:tcPr>
          <w:p w14:paraId="64CE0D5D">
            <w:pPr>
              <w:rPr>
                <w:rFonts w:hint="eastAsia" w:ascii="宋体" w:hAnsi="宋体" w:cs="宋体"/>
                <w:sz w:val="24"/>
                <w:szCs w:val="24"/>
              </w:rPr>
            </w:pPr>
          </w:p>
        </w:tc>
        <w:tc>
          <w:tcPr>
            <w:tcW w:w="496" w:type="pct"/>
          </w:tcPr>
          <w:p w14:paraId="4FE39A9A">
            <w:pPr>
              <w:rPr>
                <w:rFonts w:hint="eastAsia" w:ascii="宋体" w:hAnsi="宋体" w:cs="宋体"/>
                <w:sz w:val="24"/>
                <w:szCs w:val="24"/>
              </w:rPr>
            </w:pPr>
          </w:p>
        </w:tc>
        <w:tc>
          <w:tcPr>
            <w:tcW w:w="496" w:type="pct"/>
          </w:tcPr>
          <w:p w14:paraId="69AEDC69">
            <w:pPr>
              <w:rPr>
                <w:rFonts w:hint="eastAsia" w:ascii="宋体" w:hAnsi="宋体" w:cs="宋体"/>
                <w:sz w:val="24"/>
                <w:szCs w:val="24"/>
              </w:rPr>
            </w:pPr>
          </w:p>
        </w:tc>
        <w:tc>
          <w:tcPr>
            <w:tcW w:w="337" w:type="pct"/>
          </w:tcPr>
          <w:p w14:paraId="744A9982">
            <w:pPr>
              <w:rPr>
                <w:rFonts w:hint="eastAsia" w:ascii="宋体" w:hAnsi="宋体" w:cs="宋体"/>
                <w:sz w:val="24"/>
                <w:szCs w:val="24"/>
              </w:rPr>
            </w:pPr>
          </w:p>
        </w:tc>
        <w:tc>
          <w:tcPr>
            <w:tcW w:w="346" w:type="pct"/>
          </w:tcPr>
          <w:p w14:paraId="6CF0099C">
            <w:pPr>
              <w:rPr>
                <w:rFonts w:hint="eastAsia" w:ascii="宋体" w:hAnsi="宋体" w:cs="宋体"/>
                <w:sz w:val="24"/>
                <w:szCs w:val="24"/>
              </w:rPr>
            </w:pPr>
          </w:p>
        </w:tc>
        <w:tc>
          <w:tcPr>
            <w:tcW w:w="423" w:type="pct"/>
          </w:tcPr>
          <w:p w14:paraId="4FAD8967">
            <w:pPr>
              <w:rPr>
                <w:rFonts w:hint="eastAsia" w:ascii="宋体" w:hAnsi="宋体" w:cs="宋体"/>
                <w:sz w:val="24"/>
                <w:szCs w:val="24"/>
              </w:rPr>
            </w:pPr>
          </w:p>
        </w:tc>
      </w:tr>
      <w:tr w14:paraId="642FF2E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14" w:hRule="atLeast"/>
        </w:trPr>
        <w:tc>
          <w:tcPr>
            <w:tcW w:w="310" w:type="pct"/>
          </w:tcPr>
          <w:p w14:paraId="0A3FDB2C">
            <w:pPr>
              <w:spacing w:before="57" w:line="199" w:lineRule="auto"/>
              <w:ind w:left="384"/>
              <w:rPr>
                <w:rFonts w:hint="eastAsia" w:ascii="宋体" w:hAnsi="宋体" w:cs="宋体"/>
                <w:sz w:val="24"/>
                <w:szCs w:val="24"/>
              </w:rPr>
            </w:pPr>
            <w:r>
              <w:rPr>
                <w:rFonts w:hint="eastAsia" w:ascii="宋体" w:hAnsi="宋体" w:cs="宋体"/>
                <w:sz w:val="24"/>
                <w:szCs w:val="24"/>
              </w:rPr>
              <w:t>7</w:t>
            </w:r>
          </w:p>
        </w:tc>
        <w:tc>
          <w:tcPr>
            <w:tcW w:w="775" w:type="pct"/>
          </w:tcPr>
          <w:p w14:paraId="4EC7D5D0">
            <w:pPr>
              <w:spacing w:before="31" w:line="217" w:lineRule="auto"/>
              <w:ind w:left="872"/>
              <w:rPr>
                <w:rFonts w:hint="eastAsia" w:ascii="宋体" w:hAnsi="宋体" w:cs="宋体"/>
                <w:sz w:val="24"/>
                <w:szCs w:val="24"/>
              </w:rPr>
            </w:pPr>
          </w:p>
        </w:tc>
        <w:tc>
          <w:tcPr>
            <w:tcW w:w="390" w:type="pct"/>
          </w:tcPr>
          <w:p w14:paraId="63627A8E">
            <w:pPr>
              <w:rPr>
                <w:rFonts w:hint="eastAsia" w:ascii="宋体" w:hAnsi="宋体" w:cs="宋体"/>
                <w:sz w:val="24"/>
                <w:szCs w:val="24"/>
              </w:rPr>
            </w:pPr>
          </w:p>
        </w:tc>
        <w:tc>
          <w:tcPr>
            <w:tcW w:w="431" w:type="pct"/>
          </w:tcPr>
          <w:p w14:paraId="54048C4D">
            <w:pPr>
              <w:rPr>
                <w:rFonts w:hint="eastAsia" w:ascii="宋体" w:hAnsi="宋体" w:cs="宋体"/>
                <w:sz w:val="24"/>
                <w:szCs w:val="24"/>
              </w:rPr>
            </w:pPr>
          </w:p>
        </w:tc>
        <w:tc>
          <w:tcPr>
            <w:tcW w:w="496" w:type="pct"/>
          </w:tcPr>
          <w:p w14:paraId="4D874355">
            <w:pPr>
              <w:rPr>
                <w:rFonts w:hint="eastAsia" w:ascii="宋体" w:hAnsi="宋体" w:cs="宋体"/>
                <w:sz w:val="24"/>
                <w:szCs w:val="24"/>
              </w:rPr>
            </w:pPr>
          </w:p>
        </w:tc>
        <w:tc>
          <w:tcPr>
            <w:tcW w:w="496" w:type="pct"/>
          </w:tcPr>
          <w:p w14:paraId="592EFA28">
            <w:pPr>
              <w:rPr>
                <w:rFonts w:hint="eastAsia" w:ascii="宋体" w:hAnsi="宋体" w:cs="宋体"/>
                <w:sz w:val="24"/>
                <w:szCs w:val="24"/>
              </w:rPr>
            </w:pPr>
          </w:p>
        </w:tc>
        <w:tc>
          <w:tcPr>
            <w:tcW w:w="496" w:type="pct"/>
          </w:tcPr>
          <w:p w14:paraId="7A3FA80B">
            <w:pPr>
              <w:rPr>
                <w:rFonts w:hint="eastAsia" w:ascii="宋体" w:hAnsi="宋体" w:cs="宋体"/>
                <w:sz w:val="24"/>
                <w:szCs w:val="24"/>
              </w:rPr>
            </w:pPr>
          </w:p>
        </w:tc>
        <w:tc>
          <w:tcPr>
            <w:tcW w:w="496" w:type="pct"/>
          </w:tcPr>
          <w:p w14:paraId="771EB431">
            <w:pPr>
              <w:rPr>
                <w:rFonts w:hint="eastAsia" w:ascii="宋体" w:hAnsi="宋体" w:cs="宋体"/>
                <w:sz w:val="24"/>
                <w:szCs w:val="24"/>
              </w:rPr>
            </w:pPr>
          </w:p>
        </w:tc>
        <w:tc>
          <w:tcPr>
            <w:tcW w:w="337" w:type="pct"/>
          </w:tcPr>
          <w:p w14:paraId="6FF3A1ED">
            <w:pPr>
              <w:rPr>
                <w:rFonts w:hint="eastAsia" w:ascii="宋体" w:hAnsi="宋体" w:cs="宋体"/>
                <w:sz w:val="24"/>
                <w:szCs w:val="24"/>
              </w:rPr>
            </w:pPr>
          </w:p>
        </w:tc>
        <w:tc>
          <w:tcPr>
            <w:tcW w:w="346" w:type="pct"/>
          </w:tcPr>
          <w:p w14:paraId="7097F11D">
            <w:pPr>
              <w:rPr>
                <w:rFonts w:hint="eastAsia" w:ascii="宋体" w:hAnsi="宋体" w:cs="宋体"/>
                <w:sz w:val="24"/>
                <w:szCs w:val="24"/>
              </w:rPr>
            </w:pPr>
          </w:p>
        </w:tc>
        <w:tc>
          <w:tcPr>
            <w:tcW w:w="423" w:type="pct"/>
          </w:tcPr>
          <w:p w14:paraId="1009D4A8">
            <w:pPr>
              <w:rPr>
                <w:rFonts w:hint="eastAsia" w:ascii="宋体" w:hAnsi="宋体" w:cs="宋体"/>
                <w:sz w:val="24"/>
                <w:szCs w:val="24"/>
              </w:rPr>
            </w:pPr>
          </w:p>
        </w:tc>
      </w:tr>
      <w:tr w14:paraId="08EFC1A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15" w:hRule="atLeast"/>
        </w:trPr>
        <w:tc>
          <w:tcPr>
            <w:tcW w:w="310" w:type="pct"/>
          </w:tcPr>
          <w:p w14:paraId="1E860812">
            <w:pPr>
              <w:spacing w:before="211" w:line="202" w:lineRule="auto"/>
              <w:ind w:left="381"/>
              <w:rPr>
                <w:rFonts w:hint="eastAsia" w:ascii="宋体" w:hAnsi="宋体" w:cs="宋体"/>
                <w:sz w:val="24"/>
                <w:szCs w:val="24"/>
              </w:rPr>
            </w:pPr>
            <w:r>
              <w:rPr>
                <w:rFonts w:hint="eastAsia" w:ascii="宋体" w:hAnsi="宋体" w:cs="宋体"/>
                <w:spacing w:val="2"/>
                <w:sz w:val="24"/>
                <w:szCs w:val="24"/>
              </w:rPr>
              <w:t>8</w:t>
            </w:r>
          </w:p>
        </w:tc>
        <w:tc>
          <w:tcPr>
            <w:tcW w:w="775" w:type="pct"/>
          </w:tcPr>
          <w:p w14:paraId="16F05BF4">
            <w:pPr>
              <w:spacing w:before="34" w:line="216" w:lineRule="auto"/>
              <w:ind w:left="631"/>
              <w:rPr>
                <w:rFonts w:hint="eastAsia" w:ascii="宋体" w:hAnsi="宋体" w:cs="宋体"/>
                <w:sz w:val="24"/>
                <w:szCs w:val="24"/>
              </w:rPr>
            </w:pPr>
          </w:p>
        </w:tc>
        <w:tc>
          <w:tcPr>
            <w:tcW w:w="390" w:type="pct"/>
          </w:tcPr>
          <w:p w14:paraId="1E046913">
            <w:pPr>
              <w:rPr>
                <w:rFonts w:hint="eastAsia" w:ascii="宋体" w:hAnsi="宋体" w:cs="宋体"/>
                <w:sz w:val="24"/>
                <w:szCs w:val="24"/>
              </w:rPr>
            </w:pPr>
          </w:p>
        </w:tc>
        <w:tc>
          <w:tcPr>
            <w:tcW w:w="431" w:type="pct"/>
          </w:tcPr>
          <w:p w14:paraId="2A3FB1AE">
            <w:pPr>
              <w:rPr>
                <w:rFonts w:hint="eastAsia" w:ascii="宋体" w:hAnsi="宋体" w:cs="宋体"/>
                <w:sz w:val="24"/>
                <w:szCs w:val="24"/>
              </w:rPr>
            </w:pPr>
          </w:p>
        </w:tc>
        <w:tc>
          <w:tcPr>
            <w:tcW w:w="496" w:type="pct"/>
          </w:tcPr>
          <w:p w14:paraId="68902764">
            <w:pPr>
              <w:rPr>
                <w:rFonts w:hint="eastAsia" w:ascii="宋体" w:hAnsi="宋体" w:cs="宋体"/>
                <w:sz w:val="24"/>
                <w:szCs w:val="24"/>
              </w:rPr>
            </w:pPr>
          </w:p>
        </w:tc>
        <w:tc>
          <w:tcPr>
            <w:tcW w:w="496" w:type="pct"/>
          </w:tcPr>
          <w:p w14:paraId="7D441698">
            <w:pPr>
              <w:rPr>
                <w:rFonts w:hint="eastAsia" w:ascii="宋体" w:hAnsi="宋体" w:cs="宋体"/>
                <w:sz w:val="24"/>
                <w:szCs w:val="24"/>
              </w:rPr>
            </w:pPr>
          </w:p>
        </w:tc>
        <w:tc>
          <w:tcPr>
            <w:tcW w:w="496" w:type="pct"/>
          </w:tcPr>
          <w:p w14:paraId="3823BB4E">
            <w:pPr>
              <w:rPr>
                <w:rFonts w:hint="eastAsia" w:ascii="宋体" w:hAnsi="宋体" w:cs="宋体"/>
                <w:sz w:val="24"/>
                <w:szCs w:val="24"/>
              </w:rPr>
            </w:pPr>
          </w:p>
        </w:tc>
        <w:tc>
          <w:tcPr>
            <w:tcW w:w="496" w:type="pct"/>
          </w:tcPr>
          <w:p w14:paraId="4DD5835D">
            <w:pPr>
              <w:rPr>
                <w:rFonts w:hint="eastAsia" w:ascii="宋体" w:hAnsi="宋体" w:cs="宋体"/>
                <w:sz w:val="24"/>
                <w:szCs w:val="24"/>
              </w:rPr>
            </w:pPr>
          </w:p>
        </w:tc>
        <w:tc>
          <w:tcPr>
            <w:tcW w:w="337" w:type="pct"/>
          </w:tcPr>
          <w:p w14:paraId="131D736F">
            <w:pPr>
              <w:rPr>
                <w:rFonts w:hint="eastAsia" w:ascii="宋体" w:hAnsi="宋体" w:cs="宋体"/>
                <w:sz w:val="24"/>
                <w:szCs w:val="24"/>
              </w:rPr>
            </w:pPr>
          </w:p>
        </w:tc>
        <w:tc>
          <w:tcPr>
            <w:tcW w:w="346" w:type="pct"/>
          </w:tcPr>
          <w:p w14:paraId="6BE22B55">
            <w:pPr>
              <w:rPr>
                <w:rFonts w:hint="eastAsia" w:ascii="宋体" w:hAnsi="宋体" w:cs="宋体"/>
                <w:sz w:val="24"/>
                <w:szCs w:val="24"/>
              </w:rPr>
            </w:pPr>
          </w:p>
        </w:tc>
        <w:tc>
          <w:tcPr>
            <w:tcW w:w="423" w:type="pct"/>
          </w:tcPr>
          <w:p w14:paraId="5EA55D0E">
            <w:pPr>
              <w:rPr>
                <w:rFonts w:hint="eastAsia" w:ascii="宋体" w:hAnsi="宋体" w:cs="宋体"/>
                <w:sz w:val="24"/>
                <w:szCs w:val="24"/>
              </w:rPr>
            </w:pPr>
          </w:p>
        </w:tc>
      </w:tr>
      <w:tr w14:paraId="222FF8B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15" w:hRule="atLeast"/>
        </w:trPr>
        <w:tc>
          <w:tcPr>
            <w:tcW w:w="310" w:type="pct"/>
          </w:tcPr>
          <w:p w14:paraId="70E3BAF0">
            <w:pPr>
              <w:spacing w:before="57" w:line="199" w:lineRule="auto"/>
              <w:ind w:left="384"/>
              <w:rPr>
                <w:rFonts w:hint="eastAsia" w:ascii="宋体" w:hAnsi="宋体" w:cs="宋体"/>
                <w:sz w:val="24"/>
                <w:szCs w:val="24"/>
              </w:rPr>
            </w:pPr>
            <w:r>
              <w:rPr>
                <w:rFonts w:hint="eastAsia" w:ascii="宋体" w:hAnsi="宋体" w:cs="宋体"/>
                <w:sz w:val="24"/>
                <w:szCs w:val="24"/>
              </w:rPr>
              <w:t>9</w:t>
            </w:r>
          </w:p>
        </w:tc>
        <w:tc>
          <w:tcPr>
            <w:tcW w:w="775" w:type="pct"/>
          </w:tcPr>
          <w:p w14:paraId="6B8782A5">
            <w:pPr>
              <w:spacing w:before="34" w:line="216" w:lineRule="auto"/>
              <w:ind w:left="872"/>
              <w:rPr>
                <w:rFonts w:hint="eastAsia" w:ascii="宋体" w:hAnsi="宋体" w:cs="宋体"/>
                <w:sz w:val="24"/>
                <w:szCs w:val="24"/>
              </w:rPr>
            </w:pPr>
          </w:p>
        </w:tc>
        <w:tc>
          <w:tcPr>
            <w:tcW w:w="390" w:type="pct"/>
          </w:tcPr>
          <w:p w14:paraId="48ABDEB7">
            <w:pPr>
              <w:rPr>
                <w:rFonts w:hint="eastAsia" w:ascii="宋体" w:hAnsi="宋体" w:cs="宋体"/>
                <w:sz w:val="24"/>
                <w:szCs w:val="24"/>
              </w:rPr>
            </w:pPr>
          </w:p>
        </w:tc>
        <w:tc>
          <w:tcPr>
            <w:tcW w:w="431" w:type="pct"/>
          </w:tcPr>
          <w:p w14:paraId="048BE62E">
            <w:pPr>
              <w:rPr>
                <w:rFonts w:hint="eastAsia" w:ascii="宋体" w:hAnsi="宋体" w:cs="宋体"/>
                <w:sz w:val="24"/>
                <w:szCs w:val="24"/>
              </w:rPr>
            </w:pPr>
          </w:p>
        </w:tc>
        <w:tc>
          <w:tcPr>
            <w:tcW w:w="496" w:type="pct"/>
          </w:tcPr>
          <w:p w14:paraId="060A2212">
            <w:pPr>
              <w:rPr>
                <w:rFonts w:hint="eastAsia" w:ascii="宋体" w:hAnsi="宋体" w:cs="宋体"/>
                <w:sz w:val="24"/>
                <w:szCs w:val="24"/>
              </w:rPr>
            </w:pPr>
          </w:p>
        </w:tc>
        <w:tc>
          <w:tcPr>
            <w:tcW w:w="496" w:type="pct"/>
          </w:tcPr>
          <w:p w14:paraId="4DC9B839">
            <w:pPr>
              <w:rPr>
                <w:rFonts w:hint="eastAsia" w:ascii="宋体" w:hAnsi="宋体" w:cs="宋体"/>
                <w:sz w:val="24"/>
                <w:szCs w:val="24"/>
              </w:rPr>
            </w:pPr>
          </w:p>
        </w:tc>
        <w:tc>
          <w:tcPr>
            <w:tcW w:w="496" w:type="pct"/>
          </w:tcPr>
          <w:p w14:paraId="4EAD3893">
            <w:pPr>
              <w:rPr>
                <w:rFonts w:hint="eastAsia" w:ascii="宋体" w:hAnsi="宋体" w:cs="宋体"/>
                <w:sz w:val="24"/>
                <w:szCs w:val="24"/>
              </w:rPr>
            </w:pPr>
          </w:p>
        </w:tc>
        <w:tc>
          <w:tcPr>
            <w:tcW w:w="496" w:type="pct"/>
          </w:tcPr>
          <w:p w14:paraId="66603F62">
            <w:pPr>
              <w:rPr>
                <w:rFonts w:hint="eastAsia" w:ascii="宋体" w:hAnsi="宋体" w:cs="宋体"/>
                <w:sz w:val="24"/>
                <w:szCs w:val="24"/>
              </w:rPr>
            </w:pPr>
          </w:p>
        </w:tc>
        <w:tc>
          <w:tcPr>
            <w:tcW w:w="337" w:type="pct"/>
          </w:tcPr>
          <w:p w14:paraId="156C8698">
            <w:pPr>
              <w:rPr>
                <w:rFonts w:hint="eastAsia" w:ascii="宋体" w:hAnsi="宋体" w:cs="宋体"/>
                <w:sz w:val="24"/>
                <w:szCs w:val="24"/>
              </w:rPr>
            </w:pPr>
          </w:p>
        </w:tc>
        <w:tc>
          <w:tcPr>
            <w:tcW w:w="346" w:type="pct"/>
          </w:tcPr>
          <w:p w14:paraId="7F742F96">
            <w:pPr>
              <w:rPr>
                <w:rFonts w:hint="eastAsia" w:ascii="宋体" w:hAnsi="宋体" w:cs="宋体"/>
                <w:sz w:val="24"/>
                <w:szCs w:val="24"/>
              </w:rPr>
            </w:pPr>
          </w:p>
        </w:tc>
        <w:tc>
          <w:tcPr>
            <w:tcW w:w="423" w:type="pct"/>
          </w:tcPr>
          <w:p w14:paraId="27527A71">
            <w:pPr>
              <w:rPr>
                <w:rFonts w:hint="eastAsia" w:ascii="宋体" w:hAnsi="宋体" w:cs="宋体"/>
                <w:sz w:val="24"/>
                <w:szCs w:val="24"/>
              </w:rPr>
            </w:pPr>
          </w:p>
        </w:tc>
      </w:tr>
      <w:tr w14:paraId="3058C46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24" w:hRule="atLeast"/>
        </w:trPr>
        <w:tc>
          <w:tcPr>
            <w:tcW w:w="310" w:type="pct"/>
          </w:tcPr>
          <w:p w14:paraId="2565A979">
            <w:pPr>
              <w:spacing w:before="211" w:line="202" w:lineRule="auto"/>
              <w:ind w:left="381"/>
              <w:rPr>
                <w:rFonts w:hint="eastAsia" w:ascii="宋体" w:hAnsi="宋体" w:cs="宋体"/>
                <w:sz w:val="24"/>
                <w:szCs w:val="24"/>
              </w:rPr>
            </w:pPr>
            <w:r>
              <w:rPr>
                <w:rFonts w:hint="eastAsia" w:ascii="宋体" w:hAnsi="宋体" w:cs="宋体"/>
                <w:sz w:val="24"/>
                <w:szCs w:val="24"/>
              </w:rPr>
              <w:t>10</w:t>
            </w:r>
          </w:p>
        </w:tc>
        <w:tc>
          <w:tcPr>
            <w:tcW w:w="775" w:type="pct"/>
          </w:tcPr>
          <w:p w14:paraId="48235FBF">
            <w:pPr>
              <w:spacing w:before="36" w:line="226" w:lineRule="auto"/>
              <w:ind w:left="1004" w:right="142" w:hanging="851"/>
              <w:rPr>
                <w:rFonts w:hint="eastAsia" w:ascii="宋体" w:hAnsi="宋体" w:cs="宋体"/>
                <w:sz w:val="24"/>
                <w:szCs w:val="24"/>
              </w:rPr>
            </w:pPr>
          </w:p>
        </w:tc>
        <w:tc>
          <w:tcPr>
            <w:tcW w:w="390" w:type="pct"/>
          </w:tcPr>
          <w:p w14:paraId="101D0598">
            <w:pPr>
              <w:rPr>
                <w:rFonts w:hint="eastAsia" w:ascii="宋体" w:hAnsi="宋体" w:cs="宋体"/>
                <w:sz w:val="24"/>
                <w:szCs w:val="24"/>
              </w:rPr>
            </w:pPr>
          </w:p>
        </w:tc>
        <w:tc>
          <w:tcPr>
            <w:tcW w:w="431" w:type="pct"/>
          </w:tcPr>
          <w:p w14:paraId="446C5E94">
            <w:pPr>
              <w:rPr>
                <w:rFonts w:hint="eastAsia" w:ascii="宋体" w:hAnsi="宋体" w:cs="宋体"/>
                <w:sz w:val="24"/>
                <w:szCs w:val="24"/>
              </w:rPr>
            </w:pPr>
          </w:p>
        </w:tc>
        <w:tc>
          <w:tcPr>
            <w:tcW w:w="496" w:type="pct"/>
          </w:tcPr>
          <w:p w14:paraId="0C751CC0">
            <w:pPr>
              <w:rPr>
                <w:rFonts w:hint="eastAsia" w:ascii="宋体" w:hAnsi="宋体" w:cs="宋体"/>
                <w:sz w:val="24"/>
                <w:szCs w:val="24"/>
              </w:rPr>
            </w:pPr>
          </w:p>
        </w:tc>
        <w:tc>
          <w:tcPr>
            <w:tcW w:w="496" w:type="pct"/>
          </w:tcPr>
          <w:p w14:paraId="03DCA215">
            <w:pPr>
              <w:rPr>
                <w:rFonts w:hint="eastAsia" w:ascii="宋体" w:hAnsi="宋体" w:cs="宋体"/>
                <w:sz w:val="24"/>
                <w:szCs w:val="24"/>
              </w:rPr>
            </w:pPr>
          </w:p>
        </w:tc>
        <w:tc>
          <w:tcPr>
            <w:tcW w:w="496" w:type="pct"/>
          </w:tcPr>
          <w:p w14:paraId="4242B92D">
            <w:pPr>
              <w:rPr>
                <w:rFonts w:hint="eastAsia" w:ascii="宋体" w:hAnsi="宋体" w:cs="宋体"/>
                <w:sz w:val="24"/>
                <w:szCs w:val="24"/>
              </w:rPr>
            </w:pPr>
          </w:p>
        </w:tc>
        <w:tc>
          <w:tcPr>
            <w:tcW w:w="496" w:type="pct"/>
          </w:tcPr>
          <w:p w14:paraId="14C6BA02">
            <w:pPr>
              <w:rPr>
                <w:rFonts w:hint="eastAsia" w:ascii="宋体" w:hAnsi="宋体" w:cs="宋体"/>
                <w:sz w:val="24"/>
                <w:szCs w:val="24"/>
              </w:rPr>
            </w:pPr>
          </w:p>
        </w:tc>
        <w:tc>
          <w:tcPr>
            <w:tcW w:w="337" w:type="pct"/>
          </w:tcPr>
          <w:p w14:paraId="26DA9D38">
            <w:pPr>
              <w:rPr>
                <w:rFonts w:hint="eastAsia" w:ascii="宋体" w:hAnsi="宋体" w:cs="宋体"/>
                <w:sz w:val="24"/>
                <w:szCs w:val="24"/>
              </w:rPr>
            </w:pPr>
          </w:p>
        </w:tc>
        <w:tc>
          <w:tcPr>
            <w:tcW w:w="346" w:type="pct"/>
          </w:tcPr>
          <w:p w14:paraId="2BCE338E">
            <w:pPr>
              <w:rPr>
                <w:rFonts w:hint="eastAsia" w:ascii="宋体" w:hAnsi="宋体" w:cs="宋体"/>
                <w:sz w:val="24"/>
                <w:szCs w:val="24"/>
              </w:rPr>
            </w:pPr>
          </w:p>
        </w:tc>
        <w:tc>
          <w:tcPr>
            <w:tcW w:w="423" w:type="pct"/>
          </w:tcPr>
          <w:p w14:paraId="209C89A2">
            <w:pPr>
              <w:rPr>
                <w:rFonts w:hint="eastAsia" w:ascii="宋体" w:hAnsi="宋体" w:cs="宋体"/>
                <w:sz w:val="24"/>
                <w:szCs w:val="24"/>
              </w:rPr>
            </w:pPr>
          </w:p>
        </w:tc>
      </w:tr>
      <w:tr w14:paraId="1FE3E60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45" w:hRule="atLeast"/>
        </w:trPr>
        <w:tc>
          <w:tcPr>
            <w:tcW w:w="4576" w:type="pct"/>
            <w:gridSpan w:val="10"/>
          </w:tcPr>
          <w:p w14:paraId="58744264">
            <w:pPr>
              <w:spacing w:before="40" w:line="215" w:lineRule="auto"/>
              <w:ind w:left="5923"/>
              <w:rPr>
                <w:rFonts w:hint="eastAsia" w:ascii="宋体" w:hAnsi="宋体" w:cs="宋体"/>
                <w:sz w:val="24"/>
                <w:szCs w:val="24"/>
              </w:rPr>
            </w:pPr>
            <w:r>
              <w:rPr>
                <w:rFonts w:hint="eastAsia" w:ascii="宋体" w:hAnsi="宋体" w:cs="宋体"/>
                <w:spacing w:val="20"/>
                <w:sz w:val="24"/>
                <w:szCs w:val="24"/>
                <w14:textOutline w14:w="1536" w14:cap="flat" w14:cmpd="sng" w14:algn="ctr">
                  <w14:solidFill>
                    <w14:srgbClr w14:val="000000"/>
                  </w14:solidFill>
                  <w14:prstDash w14:val="solid"/>
                  <w14:miter w14:val="0"/>
                </w14:textOutline>
              </w:rPr>
              <w:t>总价(元</w:t>
            </w:r>
            <w:r>
              <w:rPr>
                <w:rFonts w:hint="eastAsia" w:ascii="宋体" w:hAnsi="宋体" w:cs="宋体"/>
                <w:spacing w:val="19"/>
                <w:sz w:val="24"/>
                <w:szCs w:val="24"/>
                <w14:textOutline w14:w="1536" w14:cap="flat" w14:cmpd="sng" w14:algn="ctr">
                  <w14:solidFill>
                    <w14:srgbClr w14:val="000000"/>
                  </w14:solidFill>
                  <w14:prstDash w14:val="solid"/>
                  <w14:miter w14:val="0"/>
                </w14:textOutline>
              </w:rPr>
              <w:t>)</w:t>
            </w:r>
          </w:p>
        </w:tc>
        <w:tc>
          <w:tcPr>
            <w:tcW w:w="423" w:type="pct"/>
          </w:tcPr>
          <w:p w14:paraId="7F23EA63">
            <w:pPr>
              <w:rPr>
                <w:rFonts w:hint="eastAsia" w:ascii="宋体" w:hAnsi="宋体" w:cs="宋体"/>
                <w:sz w:val="24"/>
                <w:szCs w:val="24"/>
              </w:rPr>
            </w:pPr>
          </w:p>
        </w:tc>
      </w:tr>
    </w:tbl>
    <w:p w14:paraId="04FC835F">
      <w:pPr>
        <w:rPr>
          <w:rFonts w:hint="eastAsia" w:ascii="宋体" w:hAnsi="宋体" w:cs="宋体"/>
          <w:color w:val="000000"/>
          <w:szCs w:val="21"/>
        </w:rPr>
      </w:pPr>
    </w:p>
    <w:p w14:paraId="66488B68">
      <w:pPr>
        <w:rPr>
          <w:rFonts w:hint="eastAsia" w:ascii="宋体" w:hAnsi="宋体" w:cs="宋体"/>
          <w:color w:val="000000"/>
          <w:sz w:val="24"/>
          <w:szCs w:val="24"/>
        </w:rPr>
      </w:pPr>
      <w:r>
        <w:rPr>
          <w:rFonts w:ascii="宋体" w:hAnsi="宋体" w:cs="宋体"/>
          <w:color w:val="000000"/>
          <w:sz w:val="24"/>
          <w:szCs w:val="24"/>
        </w:rPr>
        <w:t>说明：制造商规模请填写“中型”、“小型”、“微型”或“其他”，中小企业的定义见第</w:t>
      </w:r>
      <w:r>
        <w:rPr>
          <w:rFonts w:hint="eastAsia" w:ascii="宋体" w:hAnsi="宋体" w:cs="宋体"/>
          <w:color w:val="000000"/>
          <w:sz w:val="24"/>
          <w:szCs w:val="24"/>
        </w:rPr>
        <w:t>七</w:t>
      </w:r>
      <w:r>
        <w:rPr>
          <w:rFonts w:ascii="宋体" w:hAnsi="宋体" w:cs="宋体"/>
          <w:color w:val="000000"/>
          <w:sz w:val="24"/>
          <w:szCs w:val="24"/>
        </w:rPr>
        <w:t>章</w:t>
      </w:r>
      <w:r>
        <w:rPr>
          <w:rFonts w:hint="eastAsia" w:ascii="宋体" w:hAnsi="宋体" w:cs="宋体"/>
          <w:color w:val="000000"/>
          <w:sz w:val="24"/>
          <w:szCs w:val="24"/>
        </w:rPr>
        <w:t xml:space="preserve"> 附件</w:t>
      </w:r>
      <w:r>
        <w:rPr>
          <w:rFonts w:ascii="宋体" w:hAnsi="宋体" w:cs="宋体"/>
          <w:color w:val="000000"/>
          <w:sz w:val="24"/>
          <w:szCs w:val="24"/>
        </w:rPr>
        <w:t>。</w:t>
      </w:r>
    </w:p>
    <w:p w14:paraId="081901F5">
      <w:pPr>
        <w:rPr>
          <w:rFonts w:hint="eastAsia" w:ascii="宋体" w:hAnsi="宋体" w:cs="宋体"/>
          <w:color w:val="000000"/>
          <w:szCs w:val="21"/>
        </w:rPr>
      </w:pPr>
    </w:p>
    <w:p w14:paraId="426CBA11">
      <w:pPr>
        <w:pStyle w:val="10"/>
        <w:spacing w:line="480" w:lineRule="auto"/>
        <w:rPr>
          <w:rFonts w:hint="eastAsia" w:hAnsi="宋体" w:cs="宋体"/>
          <w:b/>
          <w:bCs/>
          <w:sz w:val="24"/>
          <w:szCs w:val="24"/>
          <w:u w:val="single"/>
        </w:rPr>
      </w:pPr>
      <w:r>
        <w:rPr>
          <w:rFonts w:hAnsi="宋体" w:cs="宋体"/>
          <w:b/>
          <w:bCs/>
          <w:sz w:val="24"/>
          <w:szCs w:val="24"/>
          <w:lang w:val="zh-CN"/>
        </w:rPr>
        <w:t>投标人</w:t>
      </w:r>
      <w:r>
        <w:rPr>
          <w:rFonts w:hint="eastAsia" w:hAnsi="宋体" w:cs="宋体"/>
          <w:b/>
          <w:bCs/>
          <w:sz w:val="24"/>
          <w:szCs w:val="24"/>
          <w:lang w:val="zh-CN"/>
        </w:rPr>
        <w:t>名称（</w:t>
      </w:r>
      <w:r>
        <w:rPr>
          <w:rFonts w:hint="eastAsia" w:hAnsi="宋体" w:cs="宋体"/>
          <w:b/>
          <w:bCs/>
          <w:sz w:val="24"/>
          <w:szCs w:val="24"/>
        </w:rPr>
        <w:t>加盖公章</w:t>
      </w:r>
      <w:r>
        <w:rPr>
          <w:rFonts w:hint="eastAsia" w:hAnsi="宋体" w:cs="宋体"/>
          <w:b/>
          <w:bCs/>
          <w:sz w:val="24"/>
          <w:szCs w:val="24"/>
          <w:lang w:val="zh-CN"/>
        </w:rPr>
        <w:t>）</w:t>
      </w:r>
      <w:r>
        <w:rPr>
          <w:rFonts w:hAnsi="宋体" w:cs="宋体"/>
          <w:b/>
          <w:bCs/>
          <w:sz w:val="24"/>
          <w:szCs w:val="24"/>
          <w:lang w:val="zh-CN"/>
        </w:rPr>
        <w:t>：</w:t>
      </w:r>
      <w:r>
        <w:rPr>
          <w:rFonts w:hAnsi="宋体" w:cs="宋体"/>
          <w:b/>
          <w:bCs/>
          <w:sz w:val="24"/>
          <w:szCs w:val="24"/>
          <w:u w:val="single"/>
          <w:lang w:val="zh-CN"/>
        </w:rPr>
        <w:t xml:space="preserve">     </w:t>
      </w:r>
      <w:r>
        <w:rPr>
          <w:rFonts w:hint="eastAsia" w:hAnsi="宋体" w:cs="宋体"/>
          <w:b/>
          <w:bCs/>
          <w:sz w:val="24"/>
          <w:szCs w:val="24"/>
          <w:u w:val="single"/>
        </w:rPr>
        <w:t xml:space="preserve">              </w:t>
      </w:r>
    </w:p>
    <w:p w14:paraId="602B0281">
      <w:pPr>
        <w:pStyle w:val="10"/>
        <w:spacing w:line="480" w:lineRule="auto"/>
        <w:rPr>
          <w:rFonts w:hint="eastAsia" w:hAnsi="宋体" w:cs="宋体"/>
          <w:b/>
          <w:bCs/>
          <w:sz w:val="24"/>
          <w:szCs w:val="24"/>
          <w:u w:val="single"/>
        </w:rPr>
      </w:pPr>
      <w:r>
        <w:rPr>
          <w:rFonts w:hAnsi="宋体" w:cs="宋体"/>
          <w:b/>
          <w:bCs/>
          <w:sz w:val="24"/>
          <w:szCs w:val="24"/>
          <w:lang w:val="zh-CN"/>
        </w:rPr>
        <w:t>法定代表人</w:t>
      </w:r>
      <w:r>
        <w:rPr>
          <w:rFonts w:hint="eastAsia" w:hAnsi="宋体" w:cs="宋体"/>
          <w:b/>
          <w:bCs/>
          <w:sz w:val="24"/>
          <w:szCs w:val="24"/>
          <w:lang w:val="zh-CN"/>
        </w:rPr>
        <w:t>或授权代理人</w:t>
      </w:r>
      <w:r>
        <w:rPr>
          <w:rFonts w:hAnsi="宋体" w:cs="宋体"/>
          <w:b/>
          <w:bCs/>
          <w:sz w:val="24"/>
          <w:szCs w:val="24"/>
          <w:lang w:val="zh-CN"/>
        </w:rPr>
        <w:t>（盖章或签字）：</w:t>
      </w:r>
    </w:p>
    <w:p w14:paraId="6D0BF104">
      <w:pPr>
        <w:pStyle w:val="10"/>
        <w:spacing w:line="480" w:lineRule="auto"/>
        <w:rPr>
          <w:rFonts w:hint="eastAsia" w:hAnsi="宋体" w:cs="宋体"/>
          <w:b/>
          <w:bCs/>
          <w:sz w:val="24"/>
          <w:szCs w:val="24"/>
          <w:u w:val="single"/>
        </w:rPr>
        <w:sectPr>
          <w:pgSz w:w="16838" w:h="11906" w:orient="landscape"/>
          <w:pgMar w:top="1440" w:right="1080" w:bottom="1440" w:left="1080" w:header="851" w:footer="737" w:gutter="0"/>
          <w:cols w:space="720" w:num="1"/>
          <w:titlePg/>
          <w:docGrid w:linePitch="490" w:charSpace="0"/>
        </w:sectPr>
      </w:pPr>
      <w:r>
        <w:rPr>
          <w:rFonts w:hAnsi="宋体" w:cs="宋体"/>
          <w:b/>
          <w:bCs/>
          <w:sz w:val="24"/>
          <w:szCs w:val="24"/>
          <w:lang w:val="zh-CN"/>
        </w:rPr>
        <w:t>日 期：</w:t>
      </w:r>
      <w:r>
        <w:rPr>
          <w:rFonts w:hint="eastAsia" w:hAnsi="宋体" w:cs="宋体"/>
          <w:b/>
          <w:bCs/>
          <w:sz w:val="24"/>
          <w:szCs w:val="24"/>
          <w:u w:val="single"/>
        </w:rPr>
        <w:t xml:space="preserve">                                </w:t>
      </w:r>
    </w:p>
    <w:p w14:paraId="7E2A24B4">
      <w:pPr>
        <w:jc w:val="center"/>
        <w:rPr>
          <w:rFonts w:hint="eastAsia" w:ascii="宋体" w:hAnsi="宋体" w:cs="宋体"/>
          <w:b/>
          <w:bCs/>
          <w:sz w:val="28"/>
          <w:szCs w:val="28"/>
          <w:lang w:val="zh-CN"/>
        </w:rPr>
      </w:pPr>
      <w:r>
        <w:rPr>
          <w:rFonts w:hint="eastAsia" w:ascii="宋体" w:hAnsi="宋体" w:cs="宋体"/>
          <w:b/>
          <w:bCs/>
          <w:sz w:val="28"/>
          <w:szCs w:val="28"/>
        </w:rPr>
        <w:t>四、</w:t>
      </w:r>
      <w:r>
        <w:rPr>
          <w:rFonts w:hint="eastAsia" w:ascii="宋体" w:hAnsi="宋体" w:cs="宋体"/>
          <w:b/>
          <w:bCs/>
          <w:sz w:val="28"/>
          <w:szCs w:val="28"/>
          <w:lang w:val="zh-CN"/>
        </w:rPr>
        <w:t>售后服务承诺书</w:t>
      </w:r>
    </w:p>
    <w:p w14:paraId="31CF1024">
      <w:pPr>
        <w:pStyle w:val="73"/>
        <w:rPr>
          <w:lang w:val="zh-CN"/>
        </w:rPr>
      </w:pPr>
    </w:p>
    <w:p w14:paraId="6FAB0D91">
      <w:pPr>
        <w:spacing w:line="360" w:lineRule="auto"/>
        <w:rPr>
          <w:rFonts w:hint="eastAsia" w:ascii="宋体" w:hAnsi="宋体" w:cs="宋体"/>
          <w:sz w:val="24"/>
          <w:szCs w:val="24"/>
          <w:lang w:val="zh-CN"/>
        </w:rPr>
      </w:pPr>
      <w:r>
        <w:rPr>
          <w:rFonts w:hint="eastAsia" w:ascii="宋体" w:hAnsi="宋体" w:cs="宋体"/>
          <w:bCs/>
          <w:color w:val="000000"/>
          <w:sz w:val="24"/>
          <w:szCs w:val="24"/>
          <w:lang w:val="zh-CN"/>
        </w:rPr>
        <w:t>致</w:t>
      </w:r>
      <w:r>
        <w:rPr>
          <w:rFonts w:hint="eastAsia" w:ascii="宋体" w:hAnsi="宋体" w:cs="宋体"/>
          <w:bCs/>
          <w:color w:val="000000"/>
          <w:sz w:val="24"/>
          <w:szCs w:val="24"/>
          <w:u w:val="single"/>
          <w:lang w:val="zh-CN"/>
        </w:rPr>
        <w:t xml:space="preserve">      （采购人名称）            </w:t>
      </w:r>
      <w:r>
        <w:rPr>
          <w:rFonts w:hint="eastAsia" w:ascii="宋体" w:hAnsi="宋体" w:cs="宋体"/>
          <w:sz w:val="24"/>
          <w:szCs w:val="24"/>
          <w:lang w:val="zh-CN"/>
        </w:rPr>
        <w:t xml:space="preserve">： </w:t>
      </w:r>
    </w:p>
    <w:p w14:paraId="10346160">
      <w:pPr>
        <w:spacing w:line="360" w:lineRule="auto"/>
        <w:ind w:firstLine="480" w:firstLineChars="200"/>
        <w:rPr>
          <w:rFonts w:hint="eastAsia" w:ascii="宋体" w:hAnsi="宋体" w:cs="宋体"/>
          <w:sz w:val="24"/>
          <w:szCs w:val="24"/>
          <w:lang w:val="zh-CN"/>
        </w:rPr>
      </w:pPr>
      <w:r>
        <w:rPr>
          <w:rFonts w:hint="eastAsia" w:ascii="宋体" w:hAnsi="宋体" w:cs="宋体"/>
          <w:sz w:val="24"/>
          <w:szCs w:val="24"/>
          <w:lang w:val="zh-CN"/>
        </w:rPr>
        <w:t>我公司自愿参加</w:t>
      </w:r>
      <w:r>
        <w:rPr>
          <w:rFonts w:hint="eastAsia" w:ascii="宋体" w:hAnsi="宋体" w:cs="宋体"/>
          <w:sz w:val="24"/>
          <w:szCs w:val="24"/>
          <w:u w:val="single"/>
        </w:rPr>
        <w:t xml:space="preserve">  项目名称</w:t>
      </w:r>
      <w:r>
        <w:rPr>
          <w:rFonts w:hint="eastAsia" w:ascii="宋体" w:hAnsi="宋体" w:cs="宋体"/>
          <w:sz w:val="24"/>
          <w:szCs w:val="24"/>
          <w:lang w:val="zh-CN"/>
        </w:rPr>
        <w:t>（</w:t>
      </w:r>
      <w:r>
        <w:rPr>
          <w:rFonts w:hint="eastAsia" w:ascii="宋体" w:hAnsi="宋体" w:cs="宋体"/>
          <w:sz w:val="24"/>
          <w:szCs w:val="24"/>
        </w:rPr>
        <w:t>项目</w:t>
      </w:r>
      <w:r>
        <w:rPr>
          <w:rFonts w:hint="eastAsia" w:ascii="宋体" w:hAnsi="宋体" w:cs="宋体"/>
          <w:sz w:val="24"/>
          <w:szCs w:val="24"/>
          <w:lang w:val="zh-CN"/>
        </w:rPr>
        <w:t xml:space="preserve">编号：）的投标。我公司郑重承诺，如果我公司的投标被评定为中标，我公司对于中标货物，除完全响应招标文件对伴随服务和售后服务的所有要求外，还将按照以下条款提供优质和完善的售后服务： </w:t>
      </w:r>
    </w:p>
    <w:p w14:paraId="4488505B">
      <w:pPr>
        <w:numPr>
          <w:ilvl w:val="0"/>
          <w:numId w:val="11"/>
        </w:numPr>
        <w:spacing w:line="360" w:lineRule="auto"/>
        <w:rPr>
          <w:rFonts w:hint="eastAsia" w:ascii="宋体" w:hAnsi="宋体" w:cs="宋体"/>
          <w:sz w:val="24"/>
          <w:szCs w:val="24"/>
          <w:lang w:val="zh-CN"/>
        </w:rPr>
      </w:pPr>
      <w:r>
        <w:rPr>
          <w:rFonts w:hint="eastAsia" w:ascii="宋体" w:hAnsi="宋体" w:cs="宋体"/>
          <w:sz w:val="24"/>
          <w:szCs w:val="24"/>
          <w:lang w:val="zh-CN"/>
        </w:rPr>
        <w:t xml:space="preserve">我公司中标后将为采购人提供下列售后服务项目： </w:t>
      </w:r>
    </w:p>
    <w:p w14:paraId="3C7F7A8A">
      <w:pPr>
        <w:spacing w:line="360" w:lineRule="auto"/>
        <w:rPr>
          <w:rFonts w:hint="eastAsia" w:ascii="宋体" w:hAnsi="宋体" w:cs="宋体"/>
          <w:sz w:val="24"/>
          <w:szCs w:val="24"/>
          <w:lang w:val="zh-CN"/>
        </w:rPr>
      </w:pPr>
      <w:r>
        <w:rPr>
          <w:rFonts w:hint="eastAsia" w:ascii="宋体" w:hAnsi="宋体" w:cs="宋体"/>
          <w:sz w:val="24"/>
          <w:szCs w:val="24"/>
          <w:lang w:val="zh-CN"/>
        </w:rPr>
        <w:t xml:space="preserve">2、我公司的售后服务响应及到达现场的时间（包括质保期内免费维修和/或更换有缺陷的货物或部件的响应时间）： </w:t>
      </w:r>
    </w:p>
    <w:p w14:paraId="018CE4EA">
      <w:pPr>
        <w:spacing w:line="360" w:lineRule="auto"/>
        <w:rPr>
          <w:rFonts w:hint="eastAsia" w:ascii="宋体" w:hAnsi="宋体" w:cs="宋体"/>
          <w:sz w:val="24"/>
          <w:szCs w:val="24"/>
          <w:lang w:val="zh-CN"/>
        </w:rPr>
      </w:pPr>
      <w:r>
        <w:rPr>
          <w:rFonts w:hint="eastAsia" w:ascii="宋体" w:hAnsi="宋体" w:cs="宋体"/>
          <w:sz w:val="24"/>
          <w:szCs w:val="24"/>
          <w:lang w:val="zh-CN"/>
        </w:rPr>
        <w:t>3、我公司对本项目的技术培训安排：</w:t>
      </w:r>
    </w:p>
    <w:p w14:paraId="1536A440">
      <w:pPr>
        <w:spacing w:line="360" w:lineRule="auto"/>
        <w:rPr>
          <w:rFonts w:hint="eastAsia" w:ascii="宋体" w:hAnsi="宋体" w:cs="宋体"/>
          <w:sz w:val="24"/>
          <w:szCs w:val="24"/>
          <w:lang w:val="zh-CN"/>
        </w:rPr>
      </w:pPr>
      <w:r>
        <w:rPr>
          <w:rFonts w:hint="eastAsia" w:ascii="宋体" w:hAnsi="宋体" w:cs="宋体"/>
          <w:sz w:val="24"/>
          <w:szCs w:val="24"/>
          <w:lang w:val="zh-CN"/>
        </w:rPr>
        <w:t xml:space="preserve">4、我公司用于本项目的维修技术人员及设备情况、备品备件供应的保证措施及收费标准： </w:t>
      </w:r>
    </w:p>
    <w:p w14:paraId="6C47EA6A">
      <w:pPr>
        <w:spacing w:line="360" w:lineRule="auto"/>
        <w:rPr>
          <w:rFonts w:hint="eastAsia" w:ascii="宋体" w:hAnsi="宋体" w:cs="宋体"/>
          <w:sz w:val="24"/>
          <w:szCs w:val="24"/>
          <w:lang w:val="zh-CN"/>
        </w:rPr>
      </w:pPr>
      <w:r>
        <w:rPr>
          <w:rFonts w:hint="eastAsia" w:ascii="宋体" w:hAnsi="宋体" w:cs="宋体"/>
          <w:sz w:val="24"/>
          <w:szCs w:val="24"/>
          <w:lang w:val="zh-CN"/>
        </w:rPr>
        <w:t xml:space="preserve">5、制造厂商和我公司在本项目所在地（实施地）设置的售后服务网点明细表及相关情况： </w:t>
      </w:r>
    </w:p>
    <w:p w14:paraId="1DF8CE92">
      <w:pPr>
        <w:jc w:val="center"/>
        <w:rPr>
          <w:sz w:val="24"/>
          <w:szCs w:val="24"/>
          <w:lang w:val="zh-CN"/>
        </w:rPr>
      </w:pPr>
      <w:bookmarkStart w:id="30" w:name="_Toc359329882"/>
      <w:bookmarkStart w:id="31" w:name="_Toc237329053"/>
      <w:bookmarkStart w:id="32" w:name="_Toc359494614"/>
      <w:bookmarkStart w:id="33" w:name="_Toc238185768"/>
      <w:bookmarkStart w:id="34" w:name="_Toc237200210"/>
      <w:bookmarkStart w:id="35" w:name="_Toc237236998"/>
      <w:bookmarkStart w:id="36" w:name="_Toc278528000"/>
      <w:bookmarkStart w:id="37" w:name="_Toc237328731"/>
      <w:bookmarkStart w:id="38" w:name="_Toc359494410"/>
      <w:bookmarkStart w:id="39" w:name="_Toc237199967"/>
      <w:bookmarkStart w:id="40" w:name="_Toc237200086"/>
      <w:r>
        <w:rPr>
          <w:rFonts w:hint="eastAsia"/>
          <w:sz w:val="24"/>
          <w:szCs w:val="24"/>
          <w:lang w:val="zh-CN"/>
        </w:rPr>
        <w:t>制造厂商和我公司在本项目所在地（实施地）设立的售后服务机构一览表</w:t>
      </w:r>
      <w:bookmarkEnd w:id="30"/>
      <w:bookmarkEnd w:id="31"/>
      <w:bookmarkEnd w:id="32"/>
      <w:bookmarkEnd w:id="33"/>
      <w:bookmarkEnd w:id="34"/>
      <w:bookmarkEnd w:id="35"/>
      <w:bookmarkEnd w:id="36"/>
      <w:bookmarkEnd w:id="37"/>
      <w:bookmarkEnd w:id="38"/>
      <w:bookmarkEnd w:id="39"/>
      <w:bookmarkEnd w:id="40"/>
    </w:p>
    <w:tbl>
      <w:tblPr>
        <w:tblStyle w:val="21"/>
        <w:tblW w:w="0" w:type="auto"/>
        <w:jc w:val="center"/>
        <w:tblLayout w:type="fixed"/>
        <w:tblCellMar>
          <w:top w:w="0" w:type="dxa"/>
          <w:left w:w="108" w:type="dxa"/>
          <w:bottom w:w="0" w:type="dxa"/>
          <w:right w:w="108" w:type="dxa"/>
        </w:tblCellMar>
      </w:tblPr>
      <w:tblGrid>
        <w:gridCol w:w="688"/>
        <w:gridCol w:w="2341"/>
        <w:gridCol w:w="2707"/>
        <w:gridCol w:w="1054"/>
        <w:gridCol w:w="1348"/>
        <w:gridCol w:w="1528"/>
      </w:tblGrid>
      <w:tr w14:paraId="77E15FA2">
        <w:tblPrEx>
          <w:tblCellMar>
            <w:top w:w="0" w:type="dxa"/>
            <w:left w:w="108" w:type="dxa"/>
            <w:bottom w:w="0" w:type="dxa"/>
            <w:right w:w="108" w:type="dxa"/>
          </w:tblCellMar>
        </w:tblPrEx>
        <w:trPr>
          <w:trHeight w:val="539" w:hRule="atLeast"/>
          <w:jc w:val="center"/>
        </w:trPr>
        <w:tc>
          <w:tcPr>
            <w:tcW w:w="688" w:type="dxa"/>
            <w:tcBorders>
              <w:top w:val="single" w:color="auto" w:sz="6" w:space="0"/>
              <w:left w:val="single" w:color="auto" w:sz="6" w:space="0"/>
              <w:bottom w:val="single" w:color="auto" w:sz="6" w:space="0"/>
              <w:right w:val="single" w:color="auto" w:sz="6" w:space="0"/>
            </w:tcBorders>
            <w:vAlign w:val="center"/>
          </w:tcPr>
          <w:p w14:paraId="6D19820A">
            <w:pPr>
              <w:autoSpaceDE w:val="0"/>
              <w:autoSpaceDN w:val="0"/>
              <w:adjustRightInd w:val="0"/>
              <w:jc w:val="center"/>
              <w:rPr>
                <w:rFonts w:hint="eastAsia" w:ascii="宋体" w:hAnsi="宋体" w:cs="宋体"/>
                <w:bCs/>
                <w:color w:val="000000"/>
                <w:sz w:val="24"/>
                <w:szCs w:val="24"/>
                <w:lang w:val="zh-CN"/>
              </w:rPr>
            </w:pPr>
            <w:r>
              <w:rPr>
                <w:rFonts w:hint="eastAsia" w:ascii="宋体" w:hAnsi="宋体" w:cs="宋体"/>
                <w:bCs/>
                <w:color w:val="000000"/>
                <w:sz w:val="24"/>
                <w:szCs w:val="24"/>
                <w:lang w:val="zh-CN"/>
              </w:rPr>
              <w:t>序号</w:t>
            </w:r>
          </w:p>
        </w:tc>
        <w:tc>
          <w:tcPr>
            <w:tcW w:w="2341" w:type="dxa"/>
            <w:tcBorders>
              <w:top w:val="single" w:color="auto" w:sz="6" w:space="0"/>
              <w:left w:val="single" w:color="auto" w:sz="6" w:space="0"/>
              <w:bottom w:val="single" w:color="auto" w:sz="6" w:space="0"/>
              <w:right w:val="single" w:color="auto" w:sz="6" w:space="0"/>
            </w:tcBorders>
            <w:vAlign w:val="center"/>
          </w:tcPr>
          <w:p w14:paraId="069EB305">
            <w:pPr>
              <w:autoSpaceDE w:val="0"/>
              <w:autoSpaceDN w:val="0"/>
              <w:adjustRightInd w:val="0"/>
              <w:jc w:val="center"/>
              <w:rPr>
                <w:rFonts w:hint="eastAsia" w:ascii="宋体" w:hAnsi="宋体" w:cs="宋体"/>
                <w:bCs/>
                <w:color w:val="000000"/>
                <w:sz w:val="24"/>
                <w:szCs w:val="24"/>
                <w:lang w:val="zh-CN"/>
              </w:rPr>
            </w:pPr>
            <w:r>
              <w:rPr>
                <w:rFonts w:hint="eastAsia" w:ascii="宋体" w:hAnsi="宋体" w:cs="宋体"/>
                <w:bCs/>
                <w:color w:val="000000"/>
                <w:sz w:val="24"/>
                <w:szCs w:val="24"/>
                <w:lang w:val="zh-CN"/>
              </w:rPr>
              <w:t>售后服务机构名称</w:t>
            </w:r>
          </w:p>
        </w:tc>
        <w:tc>
          <w:tcPr>
            <w:tcW w:w="2707" w:type="dxa"/>
            <w:tcBorders>
              <w:top w:val="single" w:color="auto" w:sz="6" w:space="0"/>
              <w:left w:val="single" w:color="auto" w:sz="6" w:space="0"/>
              <w:bottom w:val="single" w:color="auto" w:sz="6" w:space="0"/>
              <w:right w:val="single" w:color="auto" w:sz="6" w:space="0"/>
            </w:tcBorders>
            <w:vAlign w:val="center"/>
          </w:tcPr>
          <w:p w14:paraId="11468430">
            <w:pPr>
              <w:autoSpaceDE w:val="0"/>
              <w:autoSpaceDN w:val="0"/>
              <w:adjustRightInd w:val="0"/>
              <w:jc w:val="center"/>
              <w:rPr>
                <w:rFonts w:hint="eastAsia" w:ascii="宋体" w:hAnsi="宋体" w:cs="宋体"/>
                <w:bCs/>
                <w:color w:val="000000"/>
                <w:sz w:val="24"/>
                <w:szCs w:val="24"/>
                <w:lang w:val="zh-CN"/>
              </w:rPr>
            </w:pPr>
            <w:r>
              <w:rPr>
                <w:rFonts w:hint="eastAsia" w:ascii="宋体" w:hAnsi="宋体" w:cs="宋体"/>
                <w:bCs/>
                <w:color w:val="000000"/>
                <w:sz w:val="24"/>
                <w:szCs w:val="24"/>
                <w:lang w:val="zh-CN"/>
              </w:rPr>
              <w:t>所在市县及街区门牌号</w:t>
            </w:r>
          </w:p>
        </w:tc>
        <w:tc>
          <w:tcPr>
            <w:tcW w:w="1054" w:type="dxa"/>
            <w:tcBorders>
              <w:top w:val="single" w:color="auto" w:sz="6" w:space="0"/>
              <w:left w:val="single" w:color="auto" w:sz="6" w:space="0"/>
              <w:bottom w:val="single" w:color="auto" w:sz="6" w:space="0"/>
              <w:right w:val="single" w:color="auto" w:sz="6" w:space="0"/>
            </w:tcBorders>
            <w:vAlign w:val="center"/>
          </w:tcPr>
          <w:p w14:paraId="5949CFD8">
            <w:pPr>
              <w:autoSpaceDE w:val="0"/>
              <w:autoSpaceDN w:val="0"/>
              <w:adjustRightInd w:val="0"/>
              <w:jc w:val="center"/>
              <w:rPr>
                <w:rFonts w:hint="eastAsia" w:ascii="宋体" w:hAnsi="宋体" w:cs="宋体"/>
                <w:bCs/>
                <w:color w:val="000000"/>
                <w:sz w:val="24"/>
                <w:szCs w:val="24"/>
                <w:lang w:val="zh-CN"/>
              </w:rPr>
            </w:pPr>
            <w:r>
              <w:rPr>
                <w:rFonts w:hint="eastAsia" w:ascii="宋体" w:hAnsi="宋体" w:cs="宋体"/>
                <w:bCs/>
                <w:color w:val="000000"/>
                <w:sz w:val="24"/>
                <w:szCs w:val="24"/>
                <w:lang w:val="zh-CN"/>
              </w:rPr>
              <w:t>联系人</w:t>
            </w:r>
          </w:p>
        </w:tc>
        <w:tc>
          <w:tcPr>
            <w:tcW w:w="1348" w:type="dxa"/>
            <w:tcBorders>
              <w:top w:val="single" w:color="auto" w:sz="6" w:space="0"/>
              <w:left w:val="single" w:color="auto" w:sz="6" w:space="0"/>
              <w:bottom w:val="single" w:color="auto" w:sz="6" w:space="0"/>
              <w:right w:val="single" w:color="auto" w:sz="6" w:space="0"/>
            </w:tcBorders>
            <w:vAlign w:val="center"/>
          </w:tcPr>
          <w:p w14:paraId="7FB78A53">
            <w:pPr>
              <w:autoSpaceDE w:val="0"/>
              <w:autoSpaceDN w:val="0"/>
              <w:adjustRightInd w:val="0"/>
              <w:jc w:val="center"/>
              <w:rPr>
                <w:rFonts w:hint="eastAsia" w:ascii="宋体" w:hAnsi="宋体" w:cs="宋体"/>
                <w:bCs/>
                <w:color w:val="000000"/>
                <w:sz w:val="24"/>
                <w:szCs w:val="24"/>
                <w:lang w:val="zh-CN"/>
              </w:rPr>
            </w:pPr>
            <w:r>
              <w:rPr>
                <w:rFonts w:hint="eastAsia" w:ascii="宋体" w:hAnsi="宋体" w:cs="宋体"/>
                <w:bCs/>
                <w:color w:val="000000"/>
                <w:sz w:val="24"/>
                <w:szCs w:val="24"/>
                <w:lang w:val="zh-CN"/>
              </w:rPr>
              <w:t>移动电话</w:t>
            </w:r>
          </w:p>
        </w:tc>
        <w:tc>
          <w:tcPr>
            <w:tcW w:w="1528" w:type="dxa"/>
            <w:tcBorders>
              <w:top w:val="single" w:color="auto" w:sz="6" w:space="0"/>
              <w:left w:val="single" w:color="auto" w:sz="6" w:space="0"/>
              <w:bottom w:val="single" w:color="auto" w:sz="6" w:space="0"/>
              <w:right w:val="single" w:color="auto" w:sz="6" w:space="0"/>
            </w:tcBorders>
            <w:vAlign w:val="center"/>
          </w:tcPr>
          <w:p w14:paraId="3F4291D5">
            <w:pPr>
              <w:autoSpaceDE w:val="0"/>
              <w:autoSpaceDN w:val="0"/>
              <w:adjustRightInd w:val="0"/>
              <w:jc w:val="center"/>
              <w:rPr>
                <w:rFonts w:hint="eastAsia" w:ascii="宋体" w:hAnsi="宋体" w:cs="宋体"/>
                <w:bCs/>
                <w:color w:val="000000"/>
                <w:sz w:val="24"/>
                <w:szCs w:val="24"/>
                <w:lang w:val="zh-CN"/>
              </w:rPr>
            </w:pPr>
            <w:r>
              <w:rPr>
                <w:rFonts w:hint="eastAsia" w:ascii="宋体" w:hAnsi="宋体" w:cs="宋体"/>
                <w:bCs/>
                <w:color w:val="000000"/>
                <w:sz w:val="24"/>
                <w:szCs w:val="24"/>
                <w:lang w:val="zh-CN"/>
              </w:rPr>
              <w:t>固定电话</w:t>
            </w:r>
          </w:p>
        </w:tc>
      </w:tr>
      <w:tr w14:paraId="2F4AD4E2">
        <w:tblPrEx>
          <w:tblCellMar>
            <w:top w:w="0" w:type="dxa"/>
            <w:left w:w="108" w:type="dxa"/>
            <w:bottom w:w="0" w:type="dxa"/>
            <w:right w:w="108" w:type="dxa"/>
          </w:tblCellMar>
        </w:tblPrEx>
        <w:trPr>
          <w:trHeight w:val="539" w:hRule="atLeast"/>
          <w:jc w:val="center"/>
        </w:trPr>
        <w:tc>
          <w:tcPr>
            <w:tcW w:w="688" w:type="dxa"/>
            <w:tcBorders>
              <w:top w:val="single" w:color="auto" w:sz="6" w:space="0"/>
              <w:left w:val="single" w:color="auto" w:sz="6" w:space="0"/>
              <w:bottom w:val="single" w:color="auto" w:sz="6" w:space="0"/>
              <w:right w:val="single" w:color="auto" w:sz="6" w:space="0"/>
            </w:tcBorders>
            <w:vAlign w:val="center"/>
          </w:tcPr>
          <w:p w14:paraId="1C1EC017">
            <w:pPr>
              <w:autoSpaceDE w:val="0"/>
              <w:autoSpaceDN w:val="0"/>
              <w:adjustRightInd w:val="0"/>
              <w:jc w:val="center"/>
              <w:rPr>
                <w:rFonts w:hint="eastAsia" w:ascii="宋体" w:hAnsi="宋体" w:cs="宋体"/>
                <w:bCs/>
                <w:color w:val="000000"/>
                <w:sz w:val="24"/>
                <w:szCs w:val="24"/>
                <w:lang w:val="zh-CN"/>
              </w:rPr>
            </w:pPr>
          </w:p>
        </w:tc>
        <w:tc>
          <w:tcPr>
            <w:tcW w:w="2341" w:type="dxa"/>
            <w:tcBorders>
              <w:top w:val="single" w:color="auto" w:sz="6" w:space="0"/>
              <w:left w:val="single" w:color="auto" w:sz="6" w:space="0"/>
              <w:bottom w:val="single" w:color="auto" w:sz="6" w:space="0"/>
              <w:right w:val="single" w:color="auto" w:sz="6" w:space="0"/>
            </w:tcBorders>
            <w:vAlign w:val="center"/>
          </w:tcPr>
          <w:p w14:paraId="62BBFE1B">
            <w:pPr>
              <w:autoSpaceDE w:val="0"/>
              <w:autoSpaceDN w:val="0"/>
              <w:adjustRightInd w:val="0"/>
              <w:jc w:val="center"/>
              <w:rPr>
                <w:rFonts w:hint="eastAsia" w:ascii="宋体" w:hAnsi="宋体" w:cs="宋体"/>
                <w:bCs/>
                <w:color w:val="000000"/>
                <w:sz w:val="24"/>
                <w:szCs w:val="24"/>
                <w:lang w:val="zh-CN"/>
              </w:rPr>
            </w:pPr>
          </w:p>
        </w:tc>
        <w:tc>
          <w:tcPr>
            <w:tcW w:w="2707" w:type="dxa"/>
            <w:tcBorders>
              <w:top w:val="single" w:color="auto" w:sz="6" w:space="0"/>
              <w:left w:val="single" w:color="auto" w:sz="6" w:space="0"/>
              <w:bottom w:val="single" w:color="auto" w:sz="6" w:space="0"/>
              <w:right w:val="single" w:color="auto" w:sz="6" w:space="0"/>
            </w:tcBorders>
            <w:vAlign w:val="center"/>
          </w:tcPr>
          <w:p w14:paraId="61104426">
            <w:pPr>
              <w:autoSpaceDE w:val="0"/>
              <w:autoSpaceDN w:val="0"/>
              <w:adjustRightInd w:val="0"/>
              <w:jc w:val="center"/>
              <w:rPr>
                <w:rFonts w:hint="eastAsia" w:ascii="宋体" w:hAnsi="宋体" w:cs="宋体"/>
                <w:bCs/>
                <w:color w:val="000000"/>
                <w:sz w:val="24"/>
                <w:szCs w:val="24"/>
                <w:lang w:val="zh-CN"/>
              </w:rPr>
            </w:pPr>
          </w:p>
        </w:tc>
        <w:tc>
          <w:tcPr>
            <w:tcW w:w="1054" w:type="dxa"/>
            <w:tcBorders>
              <w:top w:val="single" w:color="auto" w:sz="6" w:space="0"/>
              <w:left w:val="single" w:color="auto" w:sz="6" w:space="0"/>
              <w:bottom w:val="single" w:color="auto" w:sz="6" w:space="0"/>
              <w:right w:val="single" w:color="auto" w:sz="6" w:space="0"/>
            </w:tcBorders>
            <w:vAlign w:val="center"/>
          </w:tcPr>
          <w:p w14:paraId="481346B0">
            <w:pPr>
              <w:autoSpaceDE w:val="0"/>
              <w:autoSpaceDN w:val="0"/>
              <w:adjustRightInd w:val="0"/>
              <w:jc w:val="center"/>
              <w:rPr>
                <w:rFonts w:hint="eastAsia" w:ascii="宋体" w:hAnsi="宋体" w:cs="宋体"/>
                <w:bCs/>
                <w:color w:val="000000"/>
                <w:sz w:val="24"/>
                <w:szCs w:val="24"/>
                <w:lang w:val="zh-CN"/>
              </w:rPr>
            </w:pPr>
          </w:p>
        </w:tc>
        <w:tc>
          <w:tcPr>
            <w:tcW w:w="1348" w:type="dxa"/>
            <w:tcBorders>
              <w:top w:val="single" w:color="auto" w:sz="6" w:space="0"/>
              <w:left w:val="single" w:color="auto" w:sz="6" w:space="0"/>
              <w:bottom w:val="single" w:color="auto" w:sz="6" w:space="0"/>
              <w:right w:val="single" w:color="auto" w:sz="6" w:space="0"/>
            </w:tcBorders>
            <w:vAlign w:val="center"/>
          </w:tcPr>
          <w:p w14:paraId="268BA275">
            <w:pPr>
              <w:autoSpaceDE w:val="0"/>
              <w:autoSpaceDN w:val="0"/>
              <w:adjustRightInd w:val="0"/>
              <w:jc w:val="center"/>
              <w:rPr>
                <w:rFonts w:hint="eastAsia" w:ascii="宋体" w:hAnsi="宋体" w:cs="宋体"/>
                <w:bCs/>
                <w:color w:val="000000"/>
                <w:sz w:val="24"/>
                <w:szCs w:val="24"/>
                <w:lang w:val="zh-CN"/>
              </w:rPr>
            </w:pPr>
          </w:p>
        </w:tc>
        <w:tc>
          <w:tcPr>
            <w:tcW w:w="1528" w:type="dxa"/>
            <w:tcBorders>
              <w:top w:val="single" w:color="auto" w:sz="6" w:space="0"/>
              <w:left w:val="single" w:color="auto" w:sz="6" w:space="0"/>
              <w:bottom w:val="single" w:color="auto" w:sz="6" w:space="0"/>
              <w:right w:val="single" w:color="auto" w:sz="6" w:space="0"/>
            </w:tcBorders>
            <w:vAlign w:val="center"/>
          </w:tcPr>
          <w:p w14:paraId="55E43825">
            <w:pPr>
              <w:autoSpaceDE w:val="0"/>
              <w:autoSpaceDN w:val="0"/>
              <w:adjustRightInd w:val="0"/>
              <w:jc w:val="center"/>
              <w:rPr>
                <w:rFonts w:hint="eastAsia" w:ascii="宋体" w:hAnsi="宋体" w:cs="宋体"/>
                <w:bCs/>
                <w:color w:val="000000"/>
                <w:sz w:val="24"/>
                <w:szCs w:val="24"/>
                <w:lang w:val="zh-CN"/>
              </w:rPr>
            </w:pPr>
          </w:p>
        </w:tc>
      </w:tr>
      <w:tr w14:paraId="5711034B">
        <w:tblPrEx>
          <w:tblCellMar>
            <w:top w:w="0" w:type="dxa"/>
            <w:left w:w="108" w:type="dxa"/>
            <w:bottom w:w="0" w:type="dxa"/>
            <w:right w:w="108" w:type="dxa"/>
          </w:tblCellMar>
        </w:tblPrEx>
        <w:trPr>
          <w:trHeight w:val="539" w:hRule="atLeast"/>
          <w:jc w:val="center"/>
        </w:trPr>
        <w:tc>
          <w:tcPr>
            <w:tcW w:w="688" w:type="dxa"/>
            <w:tcBorders>
              <w:top w:val="single" w:color="auto" w:sz="6" w:space="0"/>
              <w:left w:val="single" w:color="auto" w:sz="6" w:space="0"/>
              <w:bottom w:val="single" w:color="auto" w:sz="6" w:space="0"/>
              <w:right w:val="single" w:color="auto" w:sz="6" w:space="0"/>
            </w:tcBorders>
            <w:vAlign w:val="center"/>
          </w:tcPr>
          <w:p w14:paraId="64D5BC17">
            <w:pPr>
              <w:autoSpaceDE w:val="0"/>
              <w:autoSpaceDN w:val="0"/>
              <w:adjustRightInd w:val="0"/>
              <w:jc w:val="center"/>
              <w:rPr>
                <w:rFonts w:hint="eastAsia" w:ascii="宋体" w:hAnsi="宋体" w:cs="宋体"/>
                <w:bCs/>
                <w:color w:val="000000"/>
                <w:sz w:val="24"/>
                <w:szCs w:val="24"/>
                <w:lang w:val="zh-CN"/>
              </w:rPr>
            </w:pPr>
          </w:p>
        </w:tc>
        <w:tc>
          <w:tcPr>
            <w:tcW w:w="2341" w:type="dxa"/>
            <w:tcBorders>
              <w:top w:val="single" w:color="auto" w:sz="6" w:space="0"/>
              <w:left w:val="single" w:color="auto" w:sz="6" w:space="0"/>
              <w:bottom w:val="single" w:color="auto" w:sz="6" w:space="0"/>
              <w:right w:val="single" w:color="auto" w:sz="6" w:space="0"/>
            </w:tcBorders>
            <w:vAlign w:val="center"/>
          </w:tcPr>
          <w:p w14:paraId="769D9DF6">
            <w:pPr>
              <w:autoSpaceDE w:val="0"/>
              <w:autoSpaceDN w:val="0"/>
              <w:adjustRightInd w:val="0"/>
              <w:jc w:val="center"/>
              <w:rPr>
                <w:rFonts w:hint="eastAsia" w:ascii="宋体" w:hAnsi="宋体" w:cs="宋体"/>
                <w:bCs/>
                <w:color w:val="000000"/>
                <w:sz w:val="24"/>
                <w:szCs w:val="24"/>
                <w:lang w:val="zh-CN"/>
              </w:rPr>
            </w:pPr>
          </w:p>
        </w:tc>
        <w:tc>
          <w:tcPr>
            <w:tcW w:w="2707" w:type="dxa"/>
            <w:tcBorders>
              <w:top w:val="single" w:color="auto" w:sz="6" w:space="0"/>
              <w:left w:val="single" w:color="auto" w:sz="6" w:space="0"/>
              <w:bottom w:val="single" w:color="auto" w:sz="6" w:space="0"/>
              <w:right w:val="single" w:color="auto" w:sz="6" w:space="0"/>
            </w:tcBorders>
            <w:vAlign w:val="center"/>
          </w:tcPr>
          <w:p w14:paraId="17C1DDE1">
            <w:pPr>
              <w:autoSpaceDE w:val="0"/>
              <w:autoSpaceDN w:val="0"/>
              <w:adjustRightInd w:val="0"/>
              <w:jc w:val="center"/>
              <w:rPr>
                <w:rFonts w:hint="eastAsia" w:ascii="宋体" w:hAnsi="宋体" w:cs="宋体"/>
                <w:bCs/>
                <w:color w:val="000000"/>
                <w:sz w:val="24"/>
                <w:szCs w:val="24"/>
                <w:lang w:val="zh-CN"/>
              </w:rPr>
            </w:pPr>
          </w:p>
        </w:tc>
        <w:tc>
          <w:tcPr>
            <w:tcW w:w="1054" w:type="dxa"/>
            <w:tcBorders>
              <w:top w:val="single" w:color="auto" w:sz="6" w:space="0"/>
              <w:left w:val="single" w:color="auto" w:sz="6" w:space="0"/>
              <w:bottom w:val="single" w:color="auto" w:sz="6" w:space="0"/>
              <w:right w:val="single" w:color="auto" w:sz="6" w:space="0"/>
            </w:tcBorders>
            <w:vAlign w:val="center"/>
          </w:tcPr>
          <w:p w14:paraId="0369CFCB">
            <w:pPr>
              <w:autoSpaceDE w:val="0"/>
              <w:autoSpaceDN w:val="0"/>
              <w:adjustRightInd w:val="0"/>
              <w:jc w:val="center"/>
              <w:rPr>
                <w:rFonts w:hint="eastAsia" w:ascii="宋体" w:hAnsi="宋体" w:cs="宋体"/>
                <w:bCs/>
                <w:color w:val="000000"/>
                <w:sz w:val="24"/>
                <w:szCs w:val="24"/>
                <w:lang w:val="zh-CN"/>
              </w:rPr>
            </w:pPr>
          </w:p>
        </w:tc>
        <w:tc>
          <w:tcPr>
            <w:tcW w:w="1348" w:type="dxa"/>
            <w:tcBorders>
              <w:top w:val="single" w:color="auto" w:sz="6" w:space="0"/>
              <w:left w:val="single" w:color="auto" w:sz="6" w:space="0"/>
              <w:bottom w:val="single" w:color="auto" w:sz="6" w:space="0"/>
              <w:right w:val="single" w:color="auto" w:sz="6" w:space="0"/>
            </w:tcBorders>
            <w:vAlign w:val="center"/>
          </w:tcPr>
          <w:p w14:paraId="0D554410">
            <w:pPr>
              <w:autoSpaceDE w:val="0"/>
              <w:autoSpaceDN w:val="0"/>
              <w:adjustRightInd w:val="0"/>
              <w:jc w:val="center"/>
              <w:rPr>
                <w:rFonts w:hint="eastAsia" w:ascii="宋体" w:hAnsi="宋体" w:cs="宋体"/>
                <w:bCs/>
                <w:color w:val="000000"/>
                <w:sz w:val="24"/>
                <w:szCs w:val="24"/>
                <w:lang w:val="zh-CN"/>
              </w:rPr>
            </w:pPr>
          </w:p>
        </w:tc>
        <w:tc>
          <w:tcPr>
            <w:tcW w:w="1528" w:type="dxa"/>
            <w:tcBorders>
              <w:top w:val="single" w:color="auto" w:sz="6" w:space="0"/>
              <w:left w:val="single" w:color="auto" w:sz="6" w:space="0"/>
              <w:bottom w:val="single" w:color="auto" w:sz="6" w:space="0"/>
              <w:right w:val="single" w:color="auto" w:sz="6" w:space="0"/>
            </w:tcBorders>
            <w:vAlign w:val="center"/>
          </w:tcPr>
          <w:p w14:paraId="1B20DED3">
            <w:pPr>
              <w:autoSpaceDE w:val="0"/>
              <w:autoSpaceDN w:val="0"/>
              <w:adjustRightInd w:val="0"/>
              <w:jc w:val="center"/>
              <w:rPr>
                <w:rFonts w:hint="eastAsia" w:ascii="宋体" w:hAnsi="宋体" w:cs="宋体"/>
                <w:bCs/>
                <w:color w:val="000000"/>
                <w:sz w:val="24"/>
                <w:szCs w:val="24"/>
                <w:lang w:val="zh-CN"/>
              </w:rPr>
            </w:pPr>
          </w:p>
        </w:tc>
      </w:tr>
    </w:tbl>
    <w:p w14:paraId="42B82864">
      <w:pPr>
        <w:spacing w:line="360" w:lineRule="auto"/>
        <w:rPr>
          <w:rFonts w:hint="eastAsia" w:ascii="宋体" w:hAnsi="宋体" w:cs="宋体"/>
          <w:sz w:val="24"/>
          <w:szCs w:val="24"/>
          <w:lang w:val="zh-CN"/>
        </w:rPr>
      </w:pPr>
      <w:r>
        <w:rPr>
          <w:rFonts w:hint="eastAsia" w:ascii="宋体" w:hAnsi="宋体" w:cs="宋体"/>
          <w:sz w:val="24"/>
          <w:szCs w:val="24"/>
          <w:lang w:val="zh-CN"/>
        </w:rPr>
        <w:t>6、附件：制造厂商和我公司的售后服务体系情况及现行规定文件。</w:t>
      </w:r>
    </w:p>
    <w:p w14:paraId="2DF25D7F">
      <w:pPr>
        <w:autoSpaceDE w:val="0"/>
        <w:autoSpaceDN w:val="0"/>
        <w:adjustRightInd w:val="0"/>
        <w:rPr>
          <w:rFonts w:hint="eastAsia" w:ascii="宋体" w:hAnsi="宋体" w:cs="宋体"/>
          <w:bCs/>
          <w:color w:val="000000"/>
          <w:sz w:val="24"/>
          <w:szCs w:val="24"/>
          <w:lang w:val="zh-CN"/>
        </w:rPr>
      </w:pPr>
    </w:p>
    <w:p w14:paraId="45F98A75">
      <w:pPr>
        <w:pStyle w:val="7"/>
        <w:rPr>
          <w:rFonts w:hint="eastAsia" w:ascii="宋体" w:hAnsi="宋体" w:cs="宋体"/>
          <w:bCs/>
          <w:color w:val="000000"/>
          <w:sz w:val="24"/>
          <w:szCs w:val="24"/>
          <w:lang w:val="zh-CN"/>
        </w:rPr>
      </w:pPr>
    </w:p>
    <w:p w14:paraId="1141829F">
      <w:pPr>
        <w:rPr>
          <w:rFonts w:hint="eastAsia" w:ascii="宋体" w:hAnsi="宋体" w:cs="宋体"/>
          <w:bCs/>
          <w:color w:val="000000"/>
          <w:sz w:val="24"/>
          <w:szCs w:val="24"/>
          <w:lang w:val="zh-CN"/>
        </w:rPr>
      </w:pPr>
    </w:p>
    <w:p w14:paraId="193CD89E">
      <w:pPr>
        <w:pStyle w:val="7"/>
        <w:rPr>
          <w:rFonts w:hint="eastAsia" w:ascii="宋体" w:hAnsi="宋体" w:cs="宋体"/>
          <w:bCs/>
          <w:color w:val="000000"/>
          <w:sz w:val="24"/>
          <w:szCs w:val="24"/>
          <w:lang w:val="zh-CN"/>
        </w:rPr>
      </w:pPr>
    </w:p>
    <w:p w14:paraId="4E4EEA7B">
      <w:pPr>
        <w:rPr>
          <w:rFonts w:hint="eastAsia" w:ascii="宋体" w:hAnsi="宋体" w:cs="宋体"/>
          <w:bCs/>
          <w:color w:val="000000"/>
          <w:sz w:val="24"/>
          <w:szCs w:val="24"/>
          <w:lang w:val="zh-CN"/>
        </w:rPr>
      </w:pPr>
    </w:p>
    <w:p w14:paraId="44865CA8">
      <w:pPr>
        <w:pStyle w:val="7"/>
        <w:rPr>
          <w:rFonts w:hint="eastAsia" w:ascii="宋体" w:hAnsi="宋体" w:cs="宋体"/>
          <w:bCs/>
          <w:color w:val="000000"/>
          <w:sz w:val="24"/>
          <w:szCs w:val="24"/>
          <w:lang w:val="zh-CN"/>
        </w:rPr>
      </w:pPr>
      <w:r>
        <w:rPr>
          <w:rFonts w:hint="eastAsia" w:ascii="宋体" w:hAnsi="宋体" w:cs="宋体"/>
          <w:spacing w:val="-6"/>
          <w:sz w:val="24"/>
          <w:szCs w:val="24"/>
        </w:rPr>
        <w:t>投标人</w:t>
      </w:r>
      <w:r>
        <w:rPr>
          <w:rFonts w:hint="eastAsia" w:ascii="宋体" w:hAnsi="宋体" w:cs="宋体"/>
          <w:spacing w:val="-5"/>
          <w:sz w:val="24"/>
          <w:szCs w:val="24"/>
        </w:rPr>
        <w:t>名</w:t>
      </w:r>
      <w:r>
        <w:rPr>
          <w:rFonts w:hint="eastAsia" w:ascii="宋体" w:hAnsi="宋体" w:cs="宋体"/>
          <w:spacing w:val="-3"/>
          <w:sz w:val="24"/>
          <w:szCs w:val="24"/>
        </w:rPr>
        <w:t>称(加盖公章)：</w:t>
      </w:r>
      <w:r>
        <w:rPr>
          <w:rFonts w:ascii="宋体" w:hAnsi="宋体" w:cs="宋体"/>
          <w:bCs/>
          <w:color w:val="000000"/>
          <w:sz w:val="24"/>
          <w:szCs w:val="24"/>
          <w:lang w:val="zh-CN"/>
        </w:rPr>
        <w:t xml:space="preserve">     </w:t>
      </w:r>
      <w:r>
        <w:rPr>
          <w:rFonts w:hint="eastAsia" w:ascii="宋体" w:hAnsi="宋体" w:cs="宋体"/>
          <w:bCs/>
          <w:color w:val="000000"/>
          <w:sz w:val="24"/>
          <w:szCs w:val="24"/>
          <w:lang w:val="zh-CN"/>
        </w:rPr>
        <w:t xml:space="preserve">              </w:t>
      </w:r>
    </w:p>
    <w:p w14:paraId="719D690D">
      <w:pPr>
        <w:pStyle w:val="7"/>
        <w:rPr>
          <w:rFonts w:hint="eastAsia" w:ascii="宋体" w:hAnsi="宋体" w:cs="宋体"/>
          <w:bCs/>
          <w:color w:val="000000"/>
          <w:sz w:val="24"/>
          <w:szCs w:val="24"/>
          <w:lang w:val="zh-CN"/>
        </w:rPr>
      </w:pPr>
      <w:r>
        <w:rPr>
          <w:rFonts w:ascii="宋体" w:hAnsi="宋体" w:cs="宋体"/>
          <w:bCs/>
          <w:color w:val="000000"/>
          <w:sz w:val="24"/>
          <w:szCs w:val="24"/>
          <w:lang w:val="zh-CN"/>
        </w:rPr>
        <w:t>法定代表人（签字）：</w:t>
      </w:r>
      <w:r>
        <w:rPr>
          <w:rFonts w:hint="eastAsia" w:ascii="宋体" w:hAnsi="宋体" w:cs="宋体"/>
          <w:bCs/>
          <w:color w:val="000000"/>
          <w:sz w:val="24"/>
          <w:szCs w:val="24"/>
          <w:lang w:val="zh-CN"/>
        </w:rPr>
        <w:t xml:space="preserve">                   </w:t>
      </w:r>
    </w:p>
    <w:p w14:paraId="3ED417A0">
      <w:pPr>
        <w:pStyle w:val="7"/>
        <w:rPr>
          <w:rFonts w:hint="eastAsia" w:ascii="宋体" w:hAnsi="宋体" w:cs="宋体"/>
          <w:bCs/>
          <w:color w:val="000000"/>
          <w:sz w:val="24"/>
          <w:szCs w:val="24"/>
          <w:lang w:val="zh-CN"/>
        </w:rPr>
      </w:pPr>
      <w:r>
        <w:rPr>
          <w:rFonts w:hint="eastAsia" w:ascii="宋体" w:hAnsi="宋体" w:cs="宋体"/>
          <w:bCs/>
          <w:color w:val="000000"/>
          <w:sz w:val="24"/>
          <w:szCs w:val="24"/>
          <w:lang w:val="zh-CN"/>
        </w:rPr>
        <w:t>授权代理人</w:t>
      </w:r>
      <w:r>
        <w:rPr>
          <w:rFonts w:ascii="宋体" w:hAnsi="宋体" w:cs="宋体"/>
          <w:bCs/>
          <w:color w:val="000000"/>
          <w:sz w:val="24"/>
          <w:szCs w:val="24"/>
          <w:lang w:val="zh-CN"/>
        </w:rPr>
        <w:t>（签字）：</w:t>
      </w:r>
      <w:r>
        <w:rPr>
          <w:rFonts w:hint="eastAsia" w:ascii="宋体" w:hAnsi="宋体" w:cs="宋体"/>
          <w:bCs/>
          <w:color w:val="000000"/>
          <w:sz w:val="24"/>
          <w:szCs w:val="24"/>
          <w:lang w:val="zh-CN"/>
        </w:rPr>
        <w:t xml:space="preserve">                  </w:t>
      </w:r>
    </w:p>
    <w:p w14:paraId="699B315C">
      <w:pPr>
        <w:pStyle w:val="7"/>
        <w:rPr>
          <w:rFonts w:hint="eastAsia" w:ascii="宋体" w:hAnsi="宋体" w:cs="宋体"/>
          <w:bCs/>
          <w:color w:val="000000"/>
          <w:szCs w:val="21"/>
          <w:lang w:val="zh-CN"/>
        </w:rPr>
      </w:pPr>
      <w:r>
        <w:rPr>
          <w:rFonts w:ascii="宋体" w:hAnsi="宋体" w:cs="宋体"/>
          <w:bCs/>
          <w:color w:val="000000"/>
          <w:sz w:val="24"/>
          <w:szCs w:val="24"/>
          <w:lang w:val="zh-CN"/>
        </w:rPr>
        <w:t xml:space="preserve">日 </w:t>
      </w:r>
      <w:r>
        <w:rPr>
          <w:rFonts w:hint="eastAsia" w:ascii="宋体" w:hAnsi="宋体" w:cs="宋体"/>
          <w:bCs/>
          <w:color w:val="000000"/>
          <w:sz w:val="24"/>
          <w:szCs w:val="24"/>
          <w:lang w:val="zh-CN"/>
        </w:rPr>
        <w:t xml:space="preserve">     </w:t>
      </w:r>
      <w:r>
        <w:rPr>
          <w:rFonts w:ascii="宋体" w:hAnsi="宋体" w:cs="宋体"/>
          <w:bCs/>
          <w:color w:val="000000"/>
          <w:sz w:val="24"/>
          <w:szCs w:val="24"/>
          <w:lang w:val="zh-CN"/>
        </w:rPr>
        <w:t>期：</w:t>
      </w:r>
      <w:r>
        <w:rPr>
          <w:rFonts w:hint="eastAsia" w:ascii="宋体" w:hAnsi="宋体" w:cs="宋体"/>
          <w:bCs/>
          <w:color w:val="000000"/>
          <w:sz w:val="24"/>
          <w:szCs w:val="24"/>
          <w:lang w:val="zh-CN"/>
        </w:rPr>
        <w:t xml:space="preserve">             </w:t>
      </w:r>
      <w:r>
        <w:rPr>
          <w:rFonts w:hint="eastAsia" w:ascii="宋体" w:hAnsi="宋体" w:cs="宋体"/>
          <w:bCs/>
          <w:color w:val="000000"/>
          <w:szCs w:val="21"/>
          <w:lang w:val="zh-CN"/>
        </w:rPr>
        <w:t xml:space="preserve">               </w:t>
      </w:r>
    </w:p>
    <w:p w14:paraId="01C18745">
      <w:pPr>
        <w:rPr>
          <w:rFonts w:hint="eastAsia" w:ascii="宋体" w:hAnsi="宋体" w:cs="宋体"/>
          <w:bCs/>
          <w:color w:val="000000"/>
          <w:szCs w:val="21"/>
          <w:lang w:val="zh-CN"/>
        </w:rPr>
      </w:pPr>
    </w:p>
    <w:p w14:paraId="786F044E">
      <w:pPr>
        <w:pStyle w:val="7"/>
        <w:rPr>
          <w:rFonts w:hint="eastAsia" w:ascii="宋体" w:hAnsi="宋体" w:cs="宋体"/>
          <w:bCs/>
          <w:color w:val="000000"/>
          <w:szCs w:val="21"/>
          <w:lang w:val="zh-CN"/>
        </w:rPr>
      </w:pPr>
    </w:p>
    <w:p w14:paraId="560524EA">
      <w:pPr>
        <w:rPr>
          <w:rFonts w:hint="eastAsia" w:ascii="宋体" w:hAnsi="宋体" w:cs="宋体"/>
          <w:bCs/>
          <w:color w:val="000000"/>
          <w:szCs w:val="21"/>
          <w:lang w:val="zh-CN"/>
        </w:rPr>
      </w:pPr>
    </w:p>
    <w:p w14:paraId="1E660A3D">
      <w:pPr>
        <w:pStyle w:val="7"/>
        <w:rPr>
          <w:rFonts w:hint="eastAsia" w:ascii="宋体" w:hAnsi="宋体" w:cs="宋体"/>
          <w:bCs/>
          <w:color w:val="000000"/>
          <w:szCs w:val="21"/>
          <w:lang w:val="zh-CN"/>
        </w:rPr>
      </w:pPr>
    </w:p>
    <w:p w14:paraId="4BA388D9">
      <w:pPr>
        <w:rPr>
          <w:rFonts w:hint="eastAsia" w:ascii="宋体" w:hAnsi="宋体" w:cs="宋体"/>
          <w:bCs/>
          <w:color w:val="000000"/>
          <w:szCs w:val="21"/>
          <w:lang w:val="zh-CN"/>
        </w:rPr>
      </w:pPr>
    </w:p>
    <w:p w14:paraId="5BC5B9A2">
      <w:pPr>
        <w:pStyle w:val="7"/>
        <w:rPr>
          <w:rFonts w:hint="eastAsia" w:ascii="宋体" w:hAnsi="宋体" w:cs="宋体"/>
          <w:bCs/>
          <w:color w:val="000000"/>
          <w:szCs w:val="21"/>
          <w:lang w:val="zh-CN"/>
        </w:rPr>
      </w:pPr>
    </w:p>
    <w:p w14:paraId="4B6F5CA9">
      <w:pPr>
        <w:rPr>
          <w:rFonts w:hint="eastAsia" w:ascii="宋体" w:hAnsi="宋体" w:cs="宋体"/>
          <w:bCs/>
          <w:color w:val="000000"/>
          <w:szCs w:val="21"/>
          <w:lang w:val="zh-CN"/>
        </w:rPr>
      </w:pPr>
    </w:p>
    <w:p w14:paraId="0A428CF3">
      <w:pPr>
        <w:spacing w:after="240"/>
        <w:ind w:hanging="119"/>
        <w:jc w:val="center"/>
        <w:rPr>
          <w:rFonts w:hint="eastAsia" w:ascii="宋体" w:hAnsi="宋体" w:cs="宋体"/>
          <w:b/>
          <w:color w:val="000000"/>
          <w:sz w:val="28"/>
          <w:szCs w:val="28"/>
        </w:rPr>
      </w:pPr>
      <w:bookmarkStart w:id="41" w:name="_Toc232950474"/>
      <w:r>
        <w:rPr>
          <w:rFonts w:hint="eastAsia" w:ascii="宋体" w:hAnsi="宋体" w:cs="宋体"/>
          <w:b/>
          <w:color w:val="000000"/>
          <w:sz w:val="28"/>
          <w:szCs w:val="28"/>
        </w:rPr>
        <w:t>五、</w:t>
      </w:r>
      <w:bookmarkEnd w:id="41"/>
      <w:r>
        <w:rPr>
          <w:rFonts w:hint="eastAsia" w:ascii="宋体" w:hAnsi="宋体" w:cs="宋体"/>
          <w:b/>
          <w:sz w:val="28"/>
          <w:szCs w:val="28"/>
        </w:rPr>
        <w:t>采购需求偏离表</w:t>
      </w:r>
    </w:p>
    <w:p w14:paraId="3625F9AE">
      <w:pPr>
        <w:autoSpaceDE w:val="0"/>
        <w:autoSpaceDN w:val="0"/>
        <w:adjustRightInd w:val="0"/>
        <w:ind w:firstLine="360" w:firstLineChars="150"/>
        <w:rPr>
          <w:rFonts w:hint="eastAsia" w:ascii="宋体" w:hAnsi="宋体" w:cs="宋体"/>
          <w:bCs/>
          <w:color w:val="000000"/>
          <w:sz w:val="24"/>
          <w:szCs w:val="24"/>
          <w:lang w:val="zh-CN"/>
        </w:rPr>
      </w:pPr>
      <w:r>
        <w:rPr>
          <w:rFonts w:hint="eastAsia" w:ascii="宋体" w:hAnsi="宋体" w:cs="宋体"/>
          <w:bCs/>
          <w:color w:val="000000"/>
          <w:sz w:val="24"/>
          <w:szCs w:val="24"/>
          <w:lang w:val="zh-CN"/>
        </w:rPr>
        <w:t xml:space="preserve">项目名称：                            </w:t>
      </w:r>
    </w:p>
    <w:p w14:paraId="69E852EA">
      <w:pPr>
        <w:autoSpaceDE w:val="0"/>
        <w:autoSpaceDN w:val="0"/>
        <w:adjustRightInd w:val="0"/>
        <w:ind w:firstLine="360" w:firstLineChars="150"/>
        <w:rPr>
          <w:rFonts w:hint="eastAsia" w:ascii="宋体" w:hAnsi="宋体" w:cs="宋体"/>
          <w:bCs/>
          <w:color w:val="000000"/>
          <w:sz w:val="24"/>
          <w:szCs w:val="24"/>
          <w:lang w:val="zh-CN"/>
        </w:rPr>
      </w:pPr>
      <w:r>
        <w:rPr>
          <w:rFonts w:hint="eastAsia" w:ascii="宋体" w:hAnsi="宋体" w:cs="宋体"/>
          <w:bCs/>
          <w:color w:val="000000"/>
          <w:sz w:val="24"/>
          <w:szCs w:val="24"/>
          <w:lang w:val="zh-CN"/>
        </w:rPr>
        <w:t>项目编号：</w:t>
      </w:r>
    </w:p>
    <w:tbl>
      <w:tblPr>
        <w:tblStyle w:val="21"/>
        <w:tblW w:w="4996" w:type="pct"/>
        <w:tblInd w:w="0" w:type="dxa"/>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autofit"/>
        <w:tblCellMar>
          <w:top w:w="0" w:type="dxa"/>
          <w:left w:w="108" w:type="dxa"/>
          <w:bottom w:w="0" w:type="dxa"/>
          <w:right w:w="108" w:type="dxa"/>
        </w:tblCellMar>
      </w:tblPr>
      <w:tblGrid>
        <w:gridCol w:w="884"/>
        <w:gridCol w:w="2896"/>
        <w:gridCol w:w="2962"/>
        <w:gridCol w:w="1606"/>
        <w:gridCol w:w="1606"/>
      </w:tblGrid>
      <w:tr w14:paraId="5E1D6018">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791" w:hRule="atLeast"/>
        </w:trPr>
        <w:tc>
          <w:tcPr>
            <w:tcW w:w="444" w:type="pct"/>
          </w:tcPr>
          <w:p w14:paraId="10C1B886">
            <w:pPr>
              <w:spacing w:before="240" w:after="240"/>
              <w:jc w:val="center"/>
              <w:rPr>
                <w:rFonts w:hint="eastAsia" w:ascii="宋体" w:hAnsi="宋体" w:cs="宋体"/>
                <w:sz w:val="24"/>
                <w:szCs w:val="24"/>
              </w:rPr>
            </w:pPr>
            <w:r>
              <w:rPr>
                <w:rFonts w:hint="eastAsia" w:ascii="宋体" w:hAnsi="宋体" w:cs="宋体"/>
                <w:sz w:val="24"/>
                <w:szCs w:val="24"/>
              </w:rPr>
              <w:t>序号</w:t>
            </w:r>
          </w:p>
        </w:tc>
        <w:tc>
          <w:tcPr>
            <w:tcW w:w="1454" w:type="pct"/>
          </w:tcPr>
          <w:p w14:paraId="72D0942A">
            <w:pPr>
              <w:spacing w:before="240" w:after="240"/>
              <w:jc w:val="center"/>
              <w:rPr>
                <w:rFonts w:hint="eastAsia" w:ascii="宋体" w:hAnsi="宋体" w:cs="宋体"/>
                <w:sz w:val="24"/>
                <w:szCs w:val="24"/>
              </w:rPr>
            </w:pPr>
            <w:r>
              <w:rPr>
                <w:rFonts w:hint="eastAsia" w:ascii="宋体" w:hAnsi="宋体" w:cs="宋体"/>
                <w:sz w:val="24"/>
                <w:szCs w:val="24"/>
              </w:rPr>
              <w:t>招标文件商务、技术要求</w:t>
            </w:r>
          </w:p>
        </w:tc>
        <w:tc>
          <w:tcPr>
            <w:tcW w:w="1487" w:type="pct"/>
          </w:tcPr>
          <w:p w14:paraId="46D104E5">
            <w:pPr>
              <w:spacing w:before="240" w:after="240"/>
              <w:jc w:val="center"/>
              <w:rPr>
                <w:rFonts w:hint="eastAsia" w:ascii="宋体" w:hAnsi="宋体" w:cs="宋体"/>
                <w:sz w:val="24"/>
                <w:szCs w:val="24"/>
              </w:rPr>
            </w:pPr>
            <w:r>
              <w:rPr>
                <w:rFonts w:hint="eastAsia" w:ascii="宋体" w:hAnsi="宋体" w:cs="宋体"/>
                <w:sz w:val="24"/>
                <w:szCs w:val="24"/>
              </w:rPr>
              <w:t>投标文件情况</w:t>
            </w:r>
          </w:p>
        </w:tc>
        <w:tc>
          <w:tcPr>
            <w:tcW w:w="806" w:type="pct"/>
          </w:tcPr>
          <w:p w14:paraId="5BB5A5EC">
            <w:pPr>
              <w:spacing w:before="240" w:after="240"/>
              <w:jc w:val="center"/>
              <w:rPr>
                <w:rFonts w:hint="eastAsia" w:ascii="宋体" w:hAnsi="宋体" w:cs="宋体"/>
                <w:sz w:val="24"/>
                <w:szCs w:val="24"/>
              </w:rPr>
            </w:pPr>
            <w:r>
              <w:rPr>
                <w:rFonts w:hint="eastAsia" w:ascii="宋体" w:hAnsi="宋体" w:cs="宋体"/>
                <w:sz w:val="24"/>
                <w:szCs w:val="24"/>
                <w:lang w:val="zh-CN"/>
              </w:rPr>
              <w:t>偏离情况</w:t>
            </w:r>
          </w:p>
        </w:tc>
        <w:tc>
          <w:tcPr>
            <w:tcW w:w="806" w:type="pct"/>
          </w:tcPr>
          <w:p w14:paraId="62AB3BAE">
            <w:pPr>
              <w:spacing w:before="240" w:after="240"/>
              <w:jc w:val="center"/>
              <w:rPr>
                <w:rFonts w:hint="eastAsia" w:ascii="宋体" w:hAnsi="宋体" w:cs="宋体"/>
                <w:sz w:val="24"/>
                <w:szCs w:val="24"/>
                <w:lang w:val="zh-CN"/>
              </w:rPr>
            </w:pPr>
            <w:r>
              <w:rPr>
                <w:rFonts w:hint="eastAsia" w:ascii="宋体" w:hAnsi="宋体" w:cs="宋体"/>
                <w:sz w:val="24"/>
                <w:szCs w:val="24"/>
                <w:lang w:val="zh-CN"/>
              </w:rPr>
              <w:t>说明</w:t>
            </w:r>
          </w:p>
        </w:tc>
      </w:tr>
      <w:tr w14:paraId="5C9D1DDB">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791" w:hRule="atLeast"/>
        </w:trPr>
        <w:tc>
          <w:tcPr>
            <w:tcW w:w="444" w:type="pct"/>
          </w:tcPr>
          <w:p w14:paraId="27FC696A">
            <w:pPr>
              <w:spacing w:before="240" w:after="240"/>
              <w:rPr>
                <w:rFonts w:hint="eastAsia" w:ascii="宋体" w:hAnsi="宋体" w:cs="宋体"/>
                <w:sz w:val="24"/>
                <w:szCs w:val="24"/>
              </w:rPr>
            </w:pPr>
          </w:p>
        </w:tc>
        <w:tc>
          <w:tcPr>
            <w:tcW w:w="1454" w:type="pct"/>
          </w:tcPr>
          <w:p w14:paraId="1964C22E">
            <w:pPr>
              <w:spacing w:before="240" w:after="240"/>
              <w:rPr>
                <w:rFonts w:hint="eastAsia" w:ascii="宋体" w:hAnsi="宋体" w:cs="宋体"/>
                <w:sz w:val="24"/>
                <w:szCs w:val="24"/>
              </w:rPr>
            </w:pPr>
          </w:p>
        </w:tc>
        <w:tc>
          <w:tcPr>
            <w:tcW w:w="1487" w:type="pct"/>
          </w:tcPr>
          <w:p w14:paraId="497A1ACE">
            <w:pPr>
              <w:spacing w:before="240" w:after="240"/>
              <w:rPr>
                <w:rFonts w:hint="eastAsia" w:ascii="宋体" w:hAnsi="宋体" w:cs="宋体"/>
                <w:sz w:val="24"/>
                <w:szCs w:val="24"/>
              </w:rPr>
            </w:pPr>
          </w:p>
        </w:tc>
        <w:tc>
          <w:tcPr>
            <w:tcW w:w="806" w:type="pct"/>
          </w:tcPr>
          <w:p w14:paraId="6C631E3C">
            <w:pPr>
              <w:spacing w:before="240" w:after="240"/>
              <w:rPr>
                <w:rFonts w:hint="eastAsia" w:ascii="宋体" w:hAnsi="宋体" w:cs="宋体"/>
                <w:sz w:val="24"/>
                <w:szCs w:val="24"/>
              </w:rPr>
            </w:pPr>
          </w:p>
        </w:tc>
        <w:tc>
          <w:tcPr>
            <w:tcW w:w="806" w:type="pct"/>
          </w:tcPr>
          <w:p w14:paraId="318BD5FD">
            <w:pPr>
              <w:spacing w:before="240" w:after="240"/>
              <w:rPr>
                <w:rFonts w:hint="eastAsia" w:ascii="宋体" w:hAnsi="宋体" w:cs="宋体"/>
                <w:sz w:val="24"/>
                <w:szCs w:val="24"/>
              </w:rPr>
            </w:pPr>
          </w:p>
        </w:tc>
      </w:tr>
      <w:tr w14:paraId="415290C9">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776" w:hRule="atLeast"/>
        </w:trPr>
        <w:tc>
          <w:tcPr>
            <w:tcW w:w="444" w:type="pct"/>
          </w:tcPr>
          <w:p w14:paraId="128F3753">
            <w:pPr>
              <w:spacing w:before="240" w:after="240"/>
              <w:rPr>
                <w:rFonts w:hint="eastAsia" w:ascii="宋体" w:hAnsi="宋体" w:cs="宋体"/>
                <w:sz w:val="24"/>
                <w:szCs w:val="24"/>
              </w:rPr>
            </w:pPr>
          </w:p>
        </w:tc>
        <w:tc>
          <w:tcPr>
            <w:tcW w:w="1454" w:type="pct"/>
          </w:tcPr>
          <w:p w14:paraId="1B4A19AF">
            <w:pPr>
              <w:spacing w:before="240" w:after="240"/>
              <w:rPr>
                <w:rFonts w:hint="eastAsia" w:ascii="宋体" w:hAnsi="宋体" w:cs="宋体"/>
                <w:sz w:val="24"/>
                <w:szCs w:val="24"/>
              </w:rPr>
            </w:pPr>
          </w:p>
        </w:tc>
        <w:tc>
          <w:tcPr>
            <w:tcW w:w="1487" w:type="pct"/>
          </w:tcPr>
          <w:p w14:paraId="04C820B3">
            <w:pPr>
              <w:spacing w:before="240" w:after="240"/>
              <w:rPr>
                <w:rFonts w:hint="eastAsia" w:ascii="宋体" w:hAnsi="宋体" w:cs="宋体"/>
                <w:sz w:val="24"/>
                <w:szCs w:val="24"/>
              </w:rPr>
            </w:pPr>
          </w:p>
        </w:tc>
        <w:tc>
          <w:tcPr>
            <w:tcW w:w="806" w:type="pct"/>
          </w:tcPr>
          <w:p w14:paraId="0C9B2981">
            <w:pPr>
              <w:spacing w:before="240" w:after="240"/>
              <w:rPr>
                <w:rFonts w:hint="eastAsia" w:ascii="宋体" w:hAnsi="宋体" w:cs="宋体"/>
                <w:sz w:val="24"/>
                <w:szCs w:val="24"/>
              </w:rPr>
            </w:pPr>
          </w:p>
        </w:tc>
        <w:tc>
          <w:tcPr>
            <w:tcW w:w="806" w:type="pct"/>
          </w:tcPr>
          <w:p w14:paraId="3793EF5D">
            <w:pPr>
              <w:spacing w:before="240" w:after="240"/>
              <w:rPr>
                <w:rFonts w:hint="eastAsia" w:ascii="宋体" w:hAnsi="宋体" w:cs="宋体"/>
                <w:sz w:val="24"/>
                <w:szCs w:val="24"/>
              </w:rPr>
            </w:pPr>
          </w:p>
        </w:tc>
      </w:tr>
      <w:tr w14:paraId="1477BB78">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791" w:hRule="atLeast"/>
        </w:trPr>
        <w:tc>
          <w:tcPr>
            <w:tcW w:w="444" w:type="pct"/>
          </w:tcPr>
          <w:p w14:paraId="17894C3C">
            <w:pPr>
              <w:spacing w:before="240" w:after="240"/>
              <w:rPr>
                <w:rFonts w:hint="eastAsia" w:ascii="宋体" w:hAnsi="宋体" w:cs="宋体"/>
                <w:sz w:val="24"/>
                <w:szCs w:val="24"/>
              </w:rPr>
            </w:pPr>
          </w:p>
        </w:tc>
        <w:tc>
          <w:tcPr>
            <w:tcW w:w="1454" w:type="pct"/>
          </w:tcPr>
          <w:p w14:paraId="093E4BC7">
            <w:pPr>
              <w:spacing w:before="240" w:after="240"/>
              <w:rPr>
                <w:rFonts w:hint="eastAsia" w:ascii="宋体" w:hAnsi="宋体" w:cs="宋体"/>
                <w:sz w:val="24"/>
                <w:szCs w:val="24"/>
              </w:rPr>
            </w:pPr>
          </w:p>
        </w:tc>
        <w:tc>
          <w:tcPr>
            <w:tcW w:w="1487" w:type="pct"/>
          </w:tcPr>
          <w:p w14:paraId="35EDCAB0">
            <w:pPr>
              <w:spacing w:before="240" w:after="240"/>
              <w:rPr>
                <w:rFonts w:hint="eastAsia" w:ascii="宋体" w:hAnsi="宋体" w:cs="宋体"/>
                <w:sz w:val="24"/>
                <w:szCs w:val="24"/>
              </w:rPr>
            </w:pPr>
          </w:p>
        </w:tc>
        <w:tc>
          <w:tcPr>
            <w:tcW w:w="806" w:type="pct"/>
          </w:tcPr>
          <w:p w14:paraId="7E85A105">
            <w:pPr>
              <w:spacing w:before="240" w:after="240"/>
              <w:rPr>
                <w:rFonts w:hint="eastAsia" w:ascii="宋体" w:hAnsi="宋体" w:cs="宋体"/>
                <w:sz w:val="24"/>
                <w:szCs w:val="24"/>
              </w:rPr>
            </w:pPr>
          </w:p>
        </w:tc>
        <w:tc>
          <w:tcPr>
            <w:tcW w:w="806" w:type="pct"/>
          </w:tcPr>
          <w:p w14:paraId="677F29E9">
            <w:pPr>
              <w:spacing w:before="240" w:after="240"/>
              <w:rPr>
                <w:rFonts w:hint="eastAsia" w:ascii="宋体" w:hAnsi="宋体" w:cs="宋体"/>
                <w:sz w:val="24"/>
                <w:szCs w:val="24"/>
              </w:rPr>
            </w:pPr>
          </w:p>
        </w:tc>
      </w:tr>
      <w:tr w14:paraId="27CF46A4">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776" w:hRule="atLeast"/>
        </w:trPr>
        <w:tc>
          <w:tcPr>
            <w:tcW w:w="444" w:type="pct"/>
          </w:tcPr>
          <w:p w14:paraId="505FACAE">
            <w:pPr>
              <w:spacing w:before="240" w:after="240"/>
              <w:rPr>
                <w:rFonts w:hint="eastAsia" w:ascii="宋体" w:hAnsi="宋体" w:cs="宋体"/>
                <w:sz w:val="24"/>
                <w:szCs w:val="24"/>
              </w:rPr>
            </w:pPr>
          </w:p>
        </w:tc>
        <w:tc>
          <w:tcPr>
            <w:tcW w:w="1454" w:type="pct"/>
          </w:tcPr>
          <w:p w14:paraId="017070FF">
            <w:pPr>
              <w:spacing w:before="240" w:after="240"/>
              <w:rPr>
                <w:rFonts w:hint="eastAsia" w:ascii="宋体" w:hAnsi="宋体" w:cs="宋体"/>
                <w:sz w:val="24"/>
                <w:szCs w:val="24"/>
              </w:rPr>
            </w:pPr>
          </w:p>
        </w:tc>
        <w:tc>
          <w:tcPr>
            <w:tcW w:w="1487" w:type="pct"/>
          </w:tcPr>
          <w:p w14:paraId="51AB9BAF">
            <w:pPr>
              <w:spacing w:before="240" w:after="240"/>
              <w:rPr>
                <w:rFonts w:hint="eastAsia" w:ascii="宋体" w:hAnsi="宋体" w:cs="宋体"/>
                <w:sz w:val="24"/>
                <w:szCs w:val="24"/>
              </w:rPr>
            </w:pPr>
          </w:p>
        </w:tc>
        <w:tc>
          <w:tcPr>
            <w:tcW w:w="806" w:type="pct"/>
          </w:tcPr>
          <w:p w14:paraId="3F80797E">
            <w:pPr>
              <w:spacing w:before="240" w:after="240"/>
              <w:rPr>
                <w:rFonts w:hint="eastAsia" w:ascii="宋体" w:hAnsi="宋体" w:cs="宋体"/>
                <w:sz w:val="24"/>
                <w:szCs w:val="24"/>
              </w:rPr>
            </w:pPr>
          </w:p>
        </w:tc>
        <w:tc>
          <w:tcPr>
            <w:tcW w:w="806" w:type="pct"/>
          </w:tcPr>
          <w:p w14:paraId="3EC1B1D0">
            <w:pPr>
              <w:spacing w:before="240" w:after="240"/>
              <w:rPr>
                <w:rFonts w:hint="eastAsia" w:ascii="宋体" w:hAnsi="宋体" w:cs="宋体"/>
                <w:sz w:val="24"/>
                <w:szCs w:val="24"/>
              </w:rPr>
            </w:pPr>
          </w:p>
        </w:tc>
      </w:tr>
      <w:tr w14:paraId="69CEEC0D">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776" w:hRule="atLeast"/>
        </w:trPr>
        <w:tc>
          <w:tcPr>
            <w:tcW w:w="444" w:type="pct"/>
          </w:tcPr>
          <w:p w14:paraId="55D5BF65">
            <w:pPr>
              <w:spacing w:before="240" w:after="240"/>
              <w:rPr>
                <w:rFonts w:hint="eastAsia" w:ascii="宋体" w:hAnsi="宋体" w:cs="宋体"/>
                <w:sz w:val="24"/>
                <w:szCs w:val="24"/>
              </w:rPr>
            </w:pPr>
          </w:p>
        </w:tc>
        <w:tc>
          <w:tcPr>
            <w:tcW w:w="1454" w:type="pct"/>
          </w:tcPr>
          <w:p w14:paraId="041C59EA">
            <w:pPr>
              <w:spacing w:before="240" w:after="240"/>
              <w:rPr>
                <w:rFonts w:hint="eastAsia" w:ascii="宋体" w:hAnsi="宋体" w:cs="宋体"/>
                <w:sz w:val="24"/>
                <w:szCs w:val="24"/>
              </w:rPr>
            </w:pPr>
          </w:p>
        </w:tc>
        <w:tc>
          <w:tcPr>
            <w:tcW w:w="1487" w:type="pct"/>
          </w:tcPr>
          <w:p w14:paraId="4EB21FC7">
            <w:pPr>
              <w:spacing w:before="240" w:after="240"/>
              <w:rPr>
                <w:rFonts w:hint="eastAsia" w:ascii="宋体" w:hAnsi="宋体" w:cs="宋体"/>
                <w:sz w:val="24"/>
                <w:szCs w:val="24"/>
              </w:rPr>
            </w:pPr>
          </w:p>
        </w:tc>
        <w:tc>
          <w:tcPr>
            <w:tcW w:w="806" w:type="pct"/>
          </w:tcPr>
          <w:p w14:paraId="2279F0DC">
            <w:pPr>
              <w:spacing w:before="240" w:after="240"/>
              <w:rPr>
                <w:rFonts w:hint="eastAsia" w:ascii="宋体" w:hAnsi="宋体" w:cs="宋体"/>
                <w:sz w:val="24"/>
                <w:szCs w:val="24"/>
              </w:rPr>
            </w:pPr>
          </w:p>
        </w:tc>
        <w:tc>
          <w:tcPr>
            <w:tcW w:w="806" w:type="pct"/>
          </w:tcPr>
          <w:p w14:paraId="3B19DA0D">
            <w:pPr>
              <w:spacing w:before="240" w:after="240"/>
              <w:rPr>
                <w:rFonts w:hint="eastAsia" w:ascii="宋体" w:hAnsi="宋体" w:cs="宋体"/>
                <w:sz w:val="24"/>
                <w:szCs w:val="24"/>
              </w:rPr>
            </w:pPr>
          </w:p>
        </w:tc>
      </w:tr>
      <w:tr w14:paraId="6FA98C9E">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791" w:hRule="atLeast"/>
        </w:trPr>
        <w:tc>
          <w:tcPr>
            <w:tcW w:w="444" w:type="pct"/>
          </w:tcPr>
          <w:p w14:paraId="4242ABEE">
            <w:pPr>
              <w:spacing w:before="240" w:after="240"/>
              <w:rPr>
                <w:rFonts w:hint="eastAsia" w:ascii="宋体" w:hAnsi="宋体" w:cs="宋体"/>
                <w:sz w:val="24"/>
                <w:szCs w:val="24"/>
              </w:rPr>
            </w:pPr>
          </w:p>
        </w:tc>
        <w:tc>
          <w:tcPr>
            <w:tcW w:w="1454" w:type="pct"/>
          </w:tcPr>
          <w:p w14:paraId="12CA90F2">
            <w:pPr>
              <w:spacing w:before="240" w:after="240"/>
              <w:rPr>
                <w:rFonts w:hint="eastAsia" w:ascii="宋体" w:hAnsi="宋体" w:cs="宋体"/>
                <w:sz w:val="24"/>
                <w:szCs w:val="24"/>
              </w:rPr>
            </w:pPr>
          </w:p>
        </w:tc>
        <w:tc>
          <w:tcPr>
            <w:tcW w:w="1487" w:type="pct"/>
          </w:tcPr>
          <w:p w14:paraId="00275255">
            <w:pPr>
              <w:spacing w:before="240" w:after="240"/>
              <w:rPr>
                <w:rFonts w:hint="eastAsia" w:ascii="宋体" w:hAnsi="宋体" w:cs="宋体"/>
                <w:sz w:val="24"/>
                <w:szCs w:val="24"/>
              </w:rPr>
            </w:pPr>
          </w:p>
        </w:tc>
        <w:tc>
          <w:tcPr>
            <w:tcW w:w="806" w:type="pct"/>
          </w:tcPr>
          <w:p w14:paraId="7F8E461D">
            <w:pPr>
              <w:spacing w:before="240" w:after="240"/>
              <w:rPr>
                <w:rFonts w:hint="eastAsia" w:ascii="宋体" w:hAnsi="宋体" w:cs="宋体"/>
                <w:sz w:val="24"/>
                <w:szCs w:val="24"/>
              </w:rPr>
            </w:pPr>
          </w:p>
        </w:tc>
        <w:tc>
          <w:tcPr>
            <w:tcW w:w="806" w:type="pct"/>
          </w:tcPr>
          <w:p w14:paraId="1024D26E">
            <w:pPr>
              <w:spacing w:before="240" w:after="240"/>
              <w:rPr>
                <w:rFonts w:hint="eastAsia" w:ascii="宋体" w:hAnsi="宋体" w:cs="宋体"/>
                <w:sz w:val="24"/>
                <w:szCs w:val="24"/>
              </w:rPr>
            </w:pPr>
          </w:p>
        </w:tc>
      </w:tr>
      <w:tr w14:paraId="3F3CBA76">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776" w:hRule="atLeast"/>
        </w:trPr>
        <w:tc>
          <w:tcPr>
            <w:tcW w:w="444" w:type="pct"/>
          </w:tcPr>
          <w:p w14:paraId="56846E40">
            <w:pPr>
              <w:spacing w:before="240" w:after="240"/>
              <w:rPr>
                <w:rFonts w:hint="eastAsia" w:ascii="宋体" w:hAnsi="宋体" w:cs="宋体"/>
                <w:sz w:val="24"/>
                <w:szCs w:val="24"/>
              </w:rPr>
            </w:pPr>
          </w:p>
        </w:tc>
        <w:tc>
          <w:tcPr>
            <w:tcW w:w="1454" w:type="pct"/>
          </w:tcPr>
          <w:p w14:paraId="318679F9">
            <w:pPr>
              <w:spacing w:before="240" w:after="240"/>
              <w:rPr>
                <w:rFonts w:hint="eastAsia" w:ascii="宋体" w:hAnsi="宋体" w:cs="宋体"/>
                <w:sz w:val="24"/>
                <w:szCs w:val="24"/>
              </w:rPr>
            </w:pPr>
          </w:p>
        </w:tc>
        <w:tc>
          <w:tcPr>
            <w:tcW w:w="1487" w:type="pct"/>
          </w:tcPr>
          <w:p w14:paraId="0F020E71">
            <w:pPr>
              <w:spacing w:before="240" w:after="240"/>
              <w:rPr>
                <w:rFonts w:hint="eastAsia" w:ascii="宋体" w:hAnsi="宋体" w:cs="宋体"/>
                <w:sz w:val="24"/>
                <w:szCs w:val="24"/>
              </w:rPr>
            </w:pPr>
          </w:p>
        </w:tc>
        <w:tc>
          <w:tcPr>
            <w:tcW w:w="806" w:type="pct"/>
          </w:tcPr>
          <w:p w14:paraId="5CF0B561">
            <w:pPr>
              <w:spacing w:before="240" w:after="240"/>
              <w:rPr>
                <w:rFonts w:hint="eastAsia" w:ascii="宋体" w:hAnsi="宋体" w:cs="宋体"/>
                <w:sz w:val="24"/>
                <w:szCs w:val="24"/>
              </w:rPr>
            </w:pPr>
          </w:p>
        </w:tc>
        <w:tc>
          <w:tcPr>
            <w:tcW w:w="806" w:type="pct"/>
          </w:tcPr>
          <w:p w14:paraId="196B2A26">
            <w:pPr>
              <w:spacing w:before="240" w:after="240"/>
              <w:rPr>
                <w:rFonts w:hint="eastAsia" w:ascii="宋体" w:hAnsi="宋体" w:cs="宋体"/>
                <w:sz w:val="24"/>
                <w:szCs w:val="24"/>
              </w:rPr>
            </w:pPr>
          </w:p>
        </w:tc>
      </w:tr>
    </w:tbl>
    <w:p w14:paraId="17CA25B9">
      <w:pPr>
        <w:autoSpaceDE w:val="0"/>
        <w:autoSpaceDN w:val="0"/>
        <w:adjustRightInd w:val="0"/>
        <w:spacing w:line="360" w:lineRule="auto"/>
        <w:rPr>
          <w:rFonts w:hint="eastAsia" w:ascii="宋体" w:hAnsi="宋体" w:cs="宋体"/>
          <w:color w:val="000000"/>
          <w:sz w:val="24"/>
          <w:szCs w:val="24"/>
        </w:rPr>
      </w:pPr>
      <w:r>
        <w:rPr>
          <w:rFonts w:hint="eastAsia" w:ascii="宋体" w:hAnsi="宋体" w:cs="宋体"/>
          <w:color w:val="000000"/>
          <w:sz w:val="24"/>
          <w:szCs w:val="24"/>
        </w:rPr>
        <w:t>说明：</w:t>
      </w:r>
    </w:p>
    <w:p w14:paraId="4115F06A">
      <w:pPr>
        <w:numPr>
          <w:ilvl w:val="0"/>
          <w:numId w:val="12"/>
        </w:numPr>
        <w:autoSpaceDE w:val="0"/>
        <w:autoSpaceDN w:val="0"/>
        <w:adjustRightInd w:val="0"/>
        <w:spacing w:line="360" w:lineRule="auto"/>
        <w:rPr>
          <w:rFonts w:hint="eastAsia" w:ascii="宋体" w:hAnsi="宋体" w:cs="宋体"/>
          <w:sz w:val="24"/>
          <w:szCs w:val="24"/>
        </w:rPr>
      </w:pPr>
      <w:r>
        <w:rPr>
          <w:rFonts w:hint="eastAsia" w:ascii="宋体" w:hAnsi="宋体" w:cs="宋体"/>
          <w:sz w:val="24"/>
          <w:szCs w:val="24"/>
        </w:rPr>
        <w:t>偏离情况项填写“正偏离”、“负偏离”或“无偏离”，说明项中填写原因。</w:t>
      </w:r>
    </w:p>
    <w:p w14:paraId="01B4F3EB">
      <w:pPr>
        <w:autoSpaceDE w:val="0"/>
        <w:autoSpaceDN w:val="0"/>
        <w:adjustRightInd w:val="0"/>
        <w:spacing w:line="360" w:lineRule="auto"/>
        <w:rPr>
          <w:rFonts w:hint="eastAsia" w:ascii="宋体" w:hAnsi="宋体" w:cs="宋体"/>
          <w:sz w:val="24"/>
          <w:szCs w:val="24"/>
        </w:rPr>
      </w:pPr>
      <w:r>
        <w:rPr>
          <w:rFonts w:hint="eastAsia" w:ascii="宋体" w:hAnsi="宋体" w:cs="宋体"/>
          <w:sz w:val="24"/>
          <w:szCs w:val="24"/>
        </w:rPr>
        <w:t>2. 供应商应按照招标文件要求，对响应有偏离的，则说明偏离的内容，若有要求提供相关证明资料的，须按要求提供，否则视为负偏离。</w:t>
      </w:r>
    </w:p>
    <w:p w14:paraId="15FE36F2">
      <w:pPr>
        <w:autoSpaceDE w:val="0"/>
        <w:autoSpaceDN w:val="0"/>
        <w:adjustRightInd w:val="0"/>
        <w:spacing w:line="360" w:lineRule="auto"/>
        <w:rPr>
          <w:rFonts w:hint="eastAsia" w:ascii="宋体" w:hAnsi="宋体" w:cs="宋体"/>
          <w:sz w:val="24"/>
          <w:szCs w:val="24"/>
        </w:rPr>
      </w:pPr>
      <w:r>
        <w:rPr>
          <w:rFonts w:hint="eastAsia" w:ascii="宋体" w:hAnsi="宋体" w:cs="宋体"/>
          <w:sz w:val="24"/>
          <w:szCs w:val="24"/>
        </w:rPr>
        <w:t>3. 对招标文件中的所有商务、技术要求，除本表所列明的所有偏离外，均视作供应商已对之理解和响应。此表中若无任何文字说明，内容为空白的，投标无效。</w:t>
      </w:r>
    </w:p>
    <w:p w14:paraId="548E9AB6">
      <w:pPr>
        <w:autoSpaceDE w:val="0"/>
        <w:autoSpaceDN w:val="0"/>
        <w:adjustRightInd w:val="0"/>
        <w:spacing w:line="360" w:lineRule="auto"/>
        <w:rPr>
          <w:rFonts w:hint="eastAsia" w:ascii="宋体" w:hAnsi="宋体" w:cs="宋体"/>
          <w:sz w:val="24"/>
          <w:szCs w:val="24"/>
        </w:rPr>
      </w:pPr>
      <w:r>
        <w:rPr>
          <w:rFonts w:hint="eastAsia" w:ascii="宋体" w:hAnsi="宋体" w:cs="宋体"/>
          <w:sz w:val="24"/>
          <w:szCs w:val="24"/>
        </w:rPr>
        <w:t>4. 投标人必须据实填写，不得虚假响应，否则将取消其投标或中标资格，并按有关规定进处罚。</w:t>
      </w:r>
    </w:p>
    <w:p w14:paraId="7DD21CD1">
      <w:pPr>
        <w:pStyle w:val="10"/>
        <w:spacing w:line="480" w:lineRule="auto"/>
        <w:rPr>
          <w:rFonts w:hint="eastAsia" w:hAnsi="宋体" w:cs="宋体"/>
          <w:sz w:val="24"/>
          <w:szCs w:val="24"/>
          <w:u w:val="single"/>
        </w:rPr>
      </w:pPr>
      <w:r>
        <w:rPr>
          <w:rFonts w:hAnsi="宋体" w:cs="宋体"/>
          <w:sz w:val="24"/>
          <w:szCs w:val="24"/>
          <w:lang w:val="zh-CN"/>
        </w:rPr>
        <w:t>投标人</w:t>
      </w:r>
      <w:r>
        <w:rPr>
          <w:rFonts w:hint="eastAsia" w:hAnsi="宋体" w:cs="宋体"/>
          <w:sz w:val="24"/>
          <w:szCs w:val="24"/>
          <w:lang w:val="zh-CN"/>
        </w:rPr>
        <w:t>名称</w:t>
      </w:r>
      <w:r>
        <w:rPr>
          <w:rFonts w:hint="eastAsia" w:hAnsi="宋体" w:cs="宋体"/>
          <w:spacing w:val="-3"/>
          <w:sz w:val="24"/>
          <w:szCs w:val="24"/>
        </w:rPr>
        <w:t>(加盖公章)</w:t>
      </w:r>
      <w:r>
        <w:rPr>
          <w:rFonts w:hAnsi="宋体" w:cs="宋体"/>
          <w:sz w:val="24"/>
          <w:szCs w:val="24"/>
          <w:lang w:val="zh-CN"/>
        </w:rPr>
        <w:t>：</w:t>
      </w:r>
      <w:r>
        <w:rPr>
          <w:rFonts w:hAnsi="宋体" w:cs="宋体"/>
          <w:sz w:val="24"/>
          <w:szCs w:val="24"/>
          <w:u w:val="single"/>
          <w:lang w:val="zh-CN"/>
        </w:rPr>
        <w:t xml:space="preserve">     </w:t>
      </w:r>
      <w:r>
        <w:rPr>
          <w:rFonts w:hint="eastAsia" w:hAnsi="宋体" w:cs="宋体"/>
          <w:sz w:val="24"/>
          <w:szCs w:val="24"/>
          <w:u w:val="single"/>
        </w:rPr>
        <w:t xml:space="preserve">              </w:t>
      </w:r>
    </w:p>
    <w:p w14:paraId="00A882ED">
      <w:pPr>
        <w:pStyle w:val="10"/>
        <w:spacing w:line="480" w:lineRule="auto"/>
        <w:rPr>
          <w:rFonts w:hint="eastAsia" w:hAnsi="宋体" w:cs="宋体"/>
          <w:sz w:val="24"/>
          <w:szCs w:val="24"/>
          <w:u w:val="single"/>
        </w:rPr>
      </w:pPr>
      <w:r>
        <w:rPr>
          <w:rFonts w:hAnsi="宋体" w:cs="宋体"/>
          <w:sz w:val="24"/>
          <w:szCs w:val="24"/>
          <w:lang w:val="zh-CN"/>
        </w:rPr>
        <w:t>法定代表人</w:t>
      </w:r>
      <w:r>
        <w:rPr>
          <w:rFonts w:hint="eastAsia" w:hAnsi="宋体" w:cs="宋体"/>
          <w:sz w:val="24"/>
          <w:szCs w:val="24"/>
          <w:lang w:val="zh-CN"/>
        </w:rPr>
        <w:t>或授权代理人</w:t>
      </w:r>
      <w:r>
        <w:rPr>
          <w:rFonts w:hAnsi="宋体" w:cs="宋体"/>
          <w:sz w:val="24"/>
          <w:szCs w:val="24"/>
          <w:lang w:val="zh-CN"/>
        </w:rPr>
        <w:t>（盖章或签字）：</w:t>
      </w:r>
    </w:p>
    <w:p w14:paraId="5BB38175">
      <w:pPr>
        <w:pStyle w:val="10"/>
        <w:spacing w:line="480" w:lineRule="auto"/>
        <w:rPr>
          <w:rFonts w:hint="eastAsia" w:hAnsi="宋体" w:cs="宋体"/>
          <w:sz w:val="24"/>
          <w:szCs w:val="24"/>
        </w:rPr>
      </w:pPr>
      <w:r>
        <w:rPr>
          <w:rFonts w:hAnsi="宋体" w:cs="宋体"/>
          <w:sz w:val="24"/>
          <w:szCs w:val="24"/>
          <w:lang w:val="zh-CN"/>
        </w:rPr>
        <w:t>日 期：</w:t>
      </w:r>
      <w:r>
        <w:rPr>
          <w:rFonts w:hint="eastAsia" w:hAnsi="宋体" w:cs="宋体"/>
          <w:sz w:val="24"/>
          <w:szCs w:val="24"/>
          <w:u w:val="single"/>
        </w:rPr>
        <w:t xml:space="preserve">                                </w:t>
      </w:r>
    </w:p>
    <w:p w14:paraId="107A4AA9">
      <w:pPr>
        <w:autoSpaceDE w:val="0"/>
        <w:autoSpaceDN w:val="0"/>
        <w:adjustRightInd w:val="0"/>
        <w:jc w:val="center"/>
        <w:rPr>
          <w:rFonts w:hint="eastAsia" w:ascii="宋体" w:hAnsi="宋体" w:cs="宋体"/>
          <w:b/>
          <w:bCs/>
          <w:color w:val="000000"/>
          <w:sz w:val="28"/>
          <w:szCs w:val="28"/>
        </w:rPr>
      </w:pPr>
    </w:p>
    <w:p w14:paraId="3E8EFC94">
      <w:pPr>
        <w:autoSpaceDE w:val="0"/>
        <w:autoSpaceDN w:val="0"/>
        <w:adjustRightInd w:val="0"/>
        <w:jc w:val="center"/>
        <w:rPr>
          <w:rFonts w:hint="eastAsia" w:ascii="宋体" w:hAnsi="宋体" w:cs="宋体"/>
          <w:b/>
          <w:bCs/>
          <w:color w:val="000000"/>
          <w:sz w:val="28"/>
          <w:szCs w:val="28"/>
          <w:lang w:val="zh-CN"/>
        </w:rPr>
      </w:pPr>
      <w:r>
        <w:rPr>
          <w:rFonts w:hint="eastAsia" w:ascii="宋体" w:hAnsi="宋体" w:cs="宋体"/>
          <w:b/>
          <w:bCs/>
          <w:color w:val="000000"/>
          <w:sz w:val="28"/>
          <w:szCs w:val="28"/>
        </w:rPr>
        <w:t>六、</w:t>
      </w:r>
      <w:r>
        <w:rPr>
          <w:rFonts w:hint="eastAsia" w:ascii="宋体" w:hAnsi="宋体" w:cs="宋体"/>
          <w:b/>
          <w:bCs/>
          <w:color w:val="000000"/>
          <w:sz w:val="28"/>
          <w:szCs w:val="28"/>
          <w:lang w:val="zh-CN"/>
        </w:rPr>
        <w:t>投标保证金</w:t>
      </w:r>
    </w:p>
    <w:p w14:paraId="0E7C82AD">
      <w:pPr>
        <w:autoSpaceDE w:val="0"/>
        <w:autoSpaceDN w:val="0"/>
        <w:adjustRightInd w:val="0"/>
        <w:jc w:val="center"/>
        <w:rPr>
          <w:rFonts w:hint="eastAsia" w:ascii="宋体" w:hAnsi="宋体" w:cs="宋体"/>
          <w:b/>
          <w:bCs/>
          <w:color w:val="000000"/>
          <w:szCs w:val="21"/>
          <w:lang w:val="zh-CN"/>
        </w:rPr>
      </w:pPr>
    </w:p>
    <w:p w14:paraId="59ADD035">
      <w:pPr>
        <w:autoSpaceDE w:val="0"/>
        <w:autoSpaceDN w:val="0"/>
        <w:adjustRightInd w:val="0"/>
        <w:jc w:val="left"/>
        <w:rPr>
          <w:rFonts w:hint="eastAsia" w:ascii="宋体" w:hAnsi="宋体" w:cs="宋体"/>
          <w:color w:val="000000"/>
          <w:sz w:val="24"/>
          <w:szCs w:val="24"/>
          <w:lang w:val="zh-CN"/>
        </w:rPr>
      </w:pPr>
      <w:r>
        <w:rPr>
          <w:rFonts w:hint="eastAsia" w:ascii="宋体" w:hAnsi="宋体" w:cs="宋体"/>
          <w:color w:val="000000"/>
          <w:sz w:val="24"/>
          <w:szCs w:val="24"/>
          <w:lang w:val="zh-CN"/>
        </w:rPr>
        <w:t>致</w:t>
      </w:r>
      <w:r>
        <w:rPr>
          <w:rFonts w:hint="eastAsia" w:ascii="宋体" w:hAnsi="宋体" w:cs="宋体"/>
          <w:color w:val="000000"/>
          <w:sz w:val="24"/>
          <w:szCs w:val="24"/>
          <w:u w:val="single"/>
          <w:lang w:val="zh-CN"/>
        </w:rPr>
        <w:t xml:space="preserve"> （采购代理机构名称）</w:t>
      </w:r>
      <w:r>
        <w:rPr>
          <w:rFonts w:hint="eastAsia" w:ascii="宋体" w:hAnsi="宋体" w:cs="宋体"/>
          <w:color w:val="000000"/>
          <w:sz w:val="24"/>
          <w:szCs w:val="24"/>
          <w:lang w:val="zh-CN"/>
        </w:rPr>
        <w:t>：</w:t>
      </w:r>
    </w:p>
    <w:p w14:paraId="7C196548">
      <w:pPr>
        <w:autoSpaceDE w:val="0"/>
        <w:autoSpaceDN w:val="0"/>
        <w:adjustRightInd w:val="0"/>
        <w:jc w:val="left"/>
        <w:rPr>
          <w:rFonts w:hint="eastAsia" w:ascii="宋体" w:hAnsi="宋体" w:cs="宋体"/>
          <w:color w:val="000000"/>
          <w:sz w:val="24"/>
          <w:szCs w:val="24"/>
          <w:lang w:val="zh-CN"/>
        </w:rPr>
      </w:pPr>
    </w:p>
    <w:p w14:paraId="754F67CD">
      <w:pPr>
        <w:autoSpaceDE w:val="0"/>
        <w:autoSpaceDN w:val="0"/>
        <w:adjustRightInd w:val="0"/>
        <w:spacing w:line="360" w:lineRule="auto"/>
        <w:ind w:firstLine="601"/>
        <w:jc w:val="left"/>
        <w:rPr>
          <w:rFonts w:hint="eastAsia" w:ascii="宋体" w:hAnsi="宋体" w:cs="宋体"/>
          <w:color w:val="000000"/>
          <w:sz w:val="24"/>
          <w:szCs w:val="24"/>
          <w:lang w:val="zh-CN"/>
        </w:rPr>
      </w:pPr>
      <w:r>
        <w:rPr>
          <w:rFonts w:hint="eastAsia" w:ascii="宋体" w:hAnsi="宋体" w:cs="宋体"/>
          <w:color w:val="000000"/>
          <w:sz w:val="24"/>
          <w:szCs w:val="24"/>
          <w:u w:val="single"/>
          <w:lang w:val="zh-CN"/>
        </w:rPr>
        <w:t xml:space="preserve">              </w:t>
      </w:r>
      <w:r>
        <w:rPr>
          <w:rFonts w:hint="eastAsia" w:ascii="宋体" w:hAnsi="宋体" w:cs="宋体"/>
          <w:color w:val="000000"/>
          <w:sz w:val="24"/>
          <w:szCs w:val="24"/>
          <w:lang w:val="zh-CN"/>
        </w:rPr>
        <w:t>[投标人名称]（以下称“投标人”）于</w:t>
      </w:r>
      <w:r>
        <w:rPr>
          <w:rFonts w:hint="eastAsia" w:ascii="宋体" w:hAnsi="宋体" w:cs="宋体"/>
          <w:color w:val="000000"/>
          <w:sz w:val="24"/>
          <w:szCs w:val="24"/>
          <w:u w:val="single"/>
          <w:lang w:val="zh-CN"/>
        </w:rPr>
        <w:t xml:space="preserve">  </w:t>
      </w:r>
      <w:r>
        <w:rPr>
          <w:rFonts w:hint="eastAsia" w:ascii="宋体" w:hAnsi="宋体" w:cs="宋体"/>
          <w:color w:val="000000"/>
          <w:sz w:val="24"/>
          <w:szCs w:val="24"/>
          <w:lang w:val="zh-CN"/>
        </w:rPr>
        <w:t>年</w:t>
      </w:r>
      <w:r>
        <w:rPr>
          <w:rFonts w:hint="eastAsia" w:ascii="宋体" w:hAnsi="宋体" w:cs="宋体"/>
          <w:color w:val="000000"/>
          <w:sz w:val="24"/>
          <w:szCs w:val="24"/>
          <w:u w:val="single"/>
          <w:lang w:val="zh-CN"/>
        </w:rPr>
        <w:t xml:space="preserve">  </w:t>
      </w:r>
      <w:r>
        <w:rPr>
          <w:rFonts w:hint="eastAsia" w:ascii="宋体" w:hAnsi="宋体" w:cs="宋体"/>
          <w:color w:val="000000"/>
          <w:sz w:val="24"/>
          <w:szCs w:val="24"/>
          <w:lang w:val="zh-CN"/>
        </w:rPr>
        <w:t>月</w:t>
      </w:r>
      <w:r>
        <w:rPr>
          <w:rFonts w:hint="eastAsia" w:ascii="宋体" w:hAnsi="宋体" w:cs="宋体"/>
          <w:color w:val="000000"/>
          <w:sz w:val="24"/>
          <w:szCs w:val="24"/>
          <w:u w:val="single"/>
          <w:lang w:val="zh-CN"/>
        </w:rPr>
        <w:t xml:space="preserve">  </w:t>
      </w:r>
      <w:r>
        <w:rPr>
          <w:rFonts w:hint="eastAsia" w:ascii="宋体" w:hAnsi="宋体" w:cs="宋体"/>
          <w:color w:val="000000"/>
          <w:sz w:val="24"/>
          <w:szCs w:val="24"/>
          <w:lang w:val="zh-CN"/>
        </w:rPr>
        <w:t>日递交了</w:t>
      </w:r>
      <w:r>
        <w:rPr>
          <w:rFonts w:hint="eastAsia" w:ascii="宋体" w:hAnsi="宋体" w:cs="宋体"/>
          <w:color w:val="000000"/>
          <w:sz w:val="24"/>
          <w:szCs w:val="24"/>
          <w:u w:val="single"/>
          <w:lang w:val="zh-CN"/>
        </w:rPr>
        <w:t xml:space="preserve">         </w:t>
      </w:r>
      <w:r>
        <w:rPr>
          <w:rFonts w:hint="eastAsia" w:ascii="宋体" w:hAnsi="宋体" w:cs="宋体"/>
          <w:color w:val="000000"/>
          <w:sz w:val="24"/>
          <w:szCs w:val="24"/>
          <w:lang w:val="zh-CN"/>
        </w:rPr>
        <w:t>[项目名称、编号]的投标文件。并附有人民币</w:t>
      </w:r>
      <w:r>
        <w:rPr>
          <w:rFonts w:hint="eastAsia" w:ascii="宋体" w:hAnsi="宋体" w:cs="宋体"/>
          <w:color w:val="000000"/>
          <w:sz w:val="24"/>
          <w:szCs w:val="24"/>
          <w:u w:val="single"/>
          <w:lang w:val="zh-CN"/>
        </w:rPr>
        <w:t xml:space="preserve">      </w:t>
      </w:r>
      <w:r>
        <w:rPr>
          <w:rFonts w:hint="eastAsia" w:ascii="宋体" w:hAnsi="宋体" w:cs="宋体"/>
          <w:color w:val="000000"/>
          <w:sz w:val="24"/>
          <w:szCs w:val="24"/>
          <w:lang w:val="zh-CN"/>
        </w:rPr>
        <w:t>万元作为投标保证金。</w:t>
      </w:r>
    </w:p>
    <w:p w14:paraId="024E0C00">
      <w:pPr>
        <w:autoSpaceDE w:val="0"/>
        <w:autoSpaceDN w:val="0"/>
        <w:adjustRightInd w:val="0"/>
        <w:spacing w:line="360" w:lineRule="auto"/>
        <w:ind w:firstLine="601"/>
        <w:jc w:val="left"/>
        <w:rPr>
          <w:rFonts w:hint="eastAsia" w:ascii="宋体" w:hAnsi="宋体" w:cs="宋体"/>
          <w:color w:val="000000"/>
          <w:sz w:val="24"/>
          <w:szCs w:val="24"/>
          <w:lang w:val="zh-CN"/>
        </w:rPr>
      </w:pPr>
      <w:r>
        <w:rPr>
          <w:rFonts w:hint="eastAsia" w:ascii="宋体" w:hAnsi="宋体" w:cs="宋体"/>
          <w:color w:val="000000"/>
          <w:sz w:val="24"/>
          <w:szCs w:val="24"/>
          <w:lang w:val="zh-CN"/>
        </w:rPr>
        <w:t>我方同意招标文件中有关投标保证金的规定，并对我方有约束力。</w:t>
      </w:r>
    </w:p>
    <w:p w14:paraId="072F1E77">
      <w:pPr>
        <w:autoSpaceDE w:val="0"/>
        <w:autoSpaceDN w:val="0"/>
        <w:adjustRightInd w:val="0"/>
        <w:ind w:firstLine="601"/>
        <w:jc w:val="left"/>
        <w:rPr>
          <w:rFonts w:hint="eastAsia" w:ascii="宋体" w:hAnsi="宋体" w:cs="宋体"/>
          <w:color w:val="000000"/>
          <w:sz w:val="24"/>
          <w:szCs w:val="24"/>
          <w:lang w:val="zh-CN"/>
        </w:rPr>
      </w:pPr>
    </w:p>
    <w:p w14:paraId="35B07321">
      <w:pPr>
        <w:autoSpaceDE w:val="0"/>
        <w:autoSpaceDN w:val="0"/>
        <w:adjustRightInd w:val="0"/>
        <w:ind w:firstLine="601"/>
        <w:jc w:val="left"/>
        <w:rPr>
          <w:rFonts w:hint="eastAsia" w:ascii="宋体" w:hAnsi="宋体" w:cs="宋体"/>
          <w:color w:val="000000"/>
          <w:sz w:val="24"/>
          <w:szCs w:val="24"/>
          <w:lang w:val="zh-CN"/>
        </w:rPr>
      </w:pPr>
    </w:p>
    <w:p w14:paraId="4D3D96CA">
      <w:pPr>
        <w:autoSpaceDE w:val="0"/>
        <w:autoSpaceDN w:val="0"/>
        <w:adjustRightInd w:val="0"/>
        <w:ind w:firstLine="570"/>
        <w:jc w:val="left"/>
        <w:rPr>
          <w:rFonts w:hint="eastAsia" w:ascii="宋体" w:hAnsi="宋体" w:cs="宋体"/>
          <w:b/>
          <w:color w:val="000000"/>
          <w:sz w:val="24"/>
          <w:szCs w:val="24"/>
          <w:lang w:val="zh-CN"/>
        </w:rPr>
      </w:pPr>
      <w:r>
        <w:rPr>
          <w:rFonts w:hint="eastAsia" w:ascii="宋体" w:hAnsi="宋体" w:cs="宋体"/>
          <w:b/>
          <w:color w:val="000000"/>
          <w:sz w:val="24"/>
          <w:szCs w:val="24"/>
          <w:lang w:val="zh-CN"/>
        </w:rPr>
        <w:t xml:space="preserve">附：递交投标保证金凭证和企业基本账户信息    </w:t>
      </w:r>
    </w:p>
    <w:p w14:paraId="4ECE9DD2">
      <w:pPr>
        <w:autoSpaceDE w:val="0"/>
        <w:autoSpaceDN w:val="0"/>
        <w:adjustRightInd w:val="0"/>
        <w:ind w:firstLine="570"/>
        <w:jc w:val="left"/>
        <w:rPr>
          <w:rFonts w:hint="eastAsia" w:ascii="宋体" w:hAnsi="宋体" w:cs="宋体"/>
          <w:color w:val="000000"/>
          <w:sz w:val="24"/>
          <w:szCs w:val="24"/>
          <w:lang w:val="zh-CN"/>
        </w:rPr>
      </w:pPr>
    </w:p>
    <w:p w14:paraId="67896458">
      <w:pPr>
        <w:autoSpaceDE w:val="0"/>
        <w:autoSpaceDN w:val="0"/>
        <w:adjustRightInd w:val="0"/>
        <w:ind w:firstLine="570"/>
        <w:jc w:val="left"/>
        <w:rPr>
          <w:rFonts w:hint="eastAsia" w:ascii="宋体" w:hAnsi="宋体" w:cs="宋体"/>
          <w:color w:val="000000"/>
          <w:sz w:val="24"/>
          <w:szCs w:val="24"/>
          <w:lang w:val="zh-CN"/>
        </w:rPr>
      </w:pPr>
    </w:p>
    <w:p w14:paraId="1CDB62C1">
      <w:pPr>
        <w:autoSpaceDE w:val="0"/>
        <w:autoSpaceDN w:val="0"/>
        <w:adjustRightInd w:val="0"/>
        <w:ind w:firstLine="570"/>
        <w:jc w:val="left"/>
        <w:rPr>
          <w:rFonts w:hint="eastAsia" w:ascii="宋体" w:hAnsi="宋体" w:cs="宋体"/>
          <w:color w:val="000000"/>
          <w:sz w:val="24"/>
          <w:szCs w:val="24"/>
          <w:lang w:val="zh-CN"/>
        </w:rPr>
      </w:pPr>
    </w:p>
    <w:p w14:paraId="27685756">
      <w:pPr>
        <w:autoSpaceDE w:val="0"/>
        <w:autoSpaceDN w:val="0"/>
        <w:adjustRightInd w:val="0"/>
        <w:ind w:firstLine="570"/>
        <w:jc w:val="left"/>
        <w:rPr>
          <w:rFonts w:hint="eastAsia" w:ascii="宋体" w:hAnsi="宋体" w:cs="宋体"/>
          <w:color w:val="000000"/>
          <w:sz w:val="24"/>
          <w:szCs w:val="24"/>
          <w:lang w:val="zh-CN"/>
        </w:rPr>
      </w:pPr>
    </w:p>
    <w:p w14:paraId="68EB542F">
      <w:pPr>
        <w:autoSpaceDE w:val="0"/>
        <w:autoSpaceDN w:val="0"/>
        <w:adjustRightInd w:val="0"/>
        <w:ind w:firstLine="570"/>
        <w:jc w:val="left"/>
        <w:rPr>
          <w:rFonts w:hint="eastAsia" w:ascii="宋体" w:hAnsi="宋体" w:cs="宋体"/>
          <w:color w:val="000000"/>
          <w:sz w:val="24"/>
          <w:szCs w:val="24"/>
          <w:lang w:val="zh-CN"/>
        </w:rPr>
      </w:pPr>
    </w:p>
    <w:p w14:paraId="27097607">
      <w:pPr>
        <w:autoSpaceDE w:val="0"/>
        <w:autoSpaceDN w:val="0"/>
        <w:adjustRightInd w:val="0"/>
        <w:ind w:firstLine="570"/>
        <w:jc w:val="left"/>
        <w:rPr>
          <w:rFonts w:hint="eastAsia" w:ascii="宋体" w:hAnsi="宋体" w:cs="宋体"/>
          <w:color w:val="000000"/>
          <w:sz w:val="24"/>
          <w:szCs w:val="24"/>
          <w:lang w:val="zh-CN"/>
        </w:rPr>
      </w:pPr>
    </w:p>
    <w:p w14:paraId="3101B40D">
      <w:pPr>
        <w:autoSpaceDE w:val="0"/>
        <w:autoSpaceDN w:val="0"/>
        <w:adjustRightInd w:val="0"/>
        <w:ind w:firstLine="570"/>
        <w:jc w:val="left"/>
        <w:rPr>
          <w:rFonts w:hint="eastAsia" w:ascii="宋体" w:hAnsi="宋体" w:cs="宋体"/>
          <w:color w:val="000000"/>
          <w:sz w:val="24"/>
          <w:szCs w:val="24"/>
          <w:lang w:val="zh-CN"/>
        </w:rPr>
      </w:pPr>
    </w:p>
    <w:p w14:paraId="29651178">
      <w:pPr>
        <w:pStyle w:val="10"/>
        <w:spacing w:line="480" w:lineRule="auto"/>
        <w:rPr>
          <w:rFonts w:hint="eastAsia" w:hAnsi="宋体" w:cs="宋体"/>
          <w:sz w:val="24"/>
          <w:szCs w:val="24"/>
          <w:u w:val="single"/>
        </w:rPr>
      </w:pPr>
      <w:r>
        <w:rPr>
          <w:rFonts w:hAnsi="宋体" w:cs="宋体"/>
          <w:sz w:val="24"/>
          <w:szCs w:val="24"/>
          <w:lang w:val="zh-CN"/>
        </w:rPr>
        <w:t>投标人</w:t>
      </w:r>
      <w:r>
        <w:rPr>
          <w:rFonts w:hint="eastAsia" w:hAnsi="宋体" w:cs="宋体"/>
          <w:sz w:val="24"/>
          <w:szCs w:val="24"/>
          <w:lang w:val="zh-CN"/>
        </w:rPr>
        <w:t>名称</w:t>
      </w:r>
      <w:r>
        <w:rPr>
          <w:rFonts w:hAnsi="宋体" w:cs="宋体"/>
          <w:sz w:val="24"/>
          <w:szCs w:val="24"/>
          <w:lang w:val="zh-CN"/>
        </w:rPr>
        <w:t>（</w:t>
      </w:r>
      <w:r>
        <w:rPr>
          <w:rFonts w:hint="eastAsia" w:hAnsi="宋体" w:cs="宋体"/>
          <w:sz w:val="24"/>
          <w:szCs w:val="24"/>
        </w:rPr>
        <w:t>加盖公</w:t>
      </w:r>
      <w:r>
        <w:rPr>
          <w:rFonts w:hAnsi="宋体" w:cs="宋体"/>
          <w:sz w:val="24"/>
          <w:szCs w:val="24"/>
          <w:lang w:val="zh-CN"/>
        </w:rPr>
        <w:t>章）：</w:t>
      </w:r>
      <w:r>
        <w:rPr>
          <w:rFonts w:hAnsi="宋体" w:cs="宋体"/>
          <w:sz w:val="24"/>
          <w:szCs w:val="24"/>
          <w:u w:val="single"/>
          <w:lang w:val="zh-CN"/>
        </w:rPr>
        <w:t xml:space="preserve">     </w:t>
      </w:r>
      <w:r>
        <w:rPr>
          <w:rFonts w:hint="eastAsia" w:hAnsi="宋体" w:cs="宋体"/>
          <w:sz w:val="24"/>
          <w:szCs w:val="24"/>
          <w:u w:val="single"/>
        </w:rPr>
        <w:t xml:space="preserve">              </w:t>
      </w:r>
    </w:p>
    <w:p w14:paraId="255BEBA8">
      <w:pPr>
        <w:pStyle w:val="10"/>
        <w:spacing w:line="480" w:lineRule="auto"/>
        <w:rPr>
          <w:rFonts w:hint="eastAsia" w:hAnsi="宋体" w:cs="宋体"/>
          <w:sz w:val="24"/>
          <w:szCs w:val="24"/>
          <w:u w:val="single"/>
        </w:rPr>
      </w:pPr>
      <w:r>
        <w:rPr>
          <w:rFonts w:hAnsi="宋体" w:cs="宋体"/>
          <w:sz w:val="24"/>
          <w:szCs w:val="24"/>
          <w:lang w:val="zh-CN"/>
        </w:rPr>
        <w:t>法定代表人</w:t>
      </w:r>
      <w:r>
        <w:rPr>
          <w:rFonts w:hint="eastAsia" w:hAnsi="宋体" w:cs="宋体"/>
          <w:sz w:val="24"/>
          <w:szCs w:val="24"/>
          <w:lang w:val="zh-CN"/>
        </w:rPr>
        <w:t>或授权代理人</w:t>
      </w:r>
      <w:r>
        <w:rPr>
          <w:rFonts w:hAnsi="宋体" w:cs="宋体"/>
          <w:sz w:val="24"/>
          <w:szCs w:val="24"/>
          <w:lang w:val="zh-CN"/>
        </w:rPr>
        <w:t>（盖章或签字）：</w:t>
      </w:r>
    </w:p>
    <w:p w14:paraId="526C554F">
      <w:pPr>
        <w:pStyle w:val="10"/>
        <w:spacing w:line="480" w:lineRule="auto"/>
        <w:rPr>
          <w:rFonts w:hint="eastAsia" w:hAnsi="宋体" w:cs="宋体"/>
          <w:sz w:val="24"/>
          <w:szCs w:val="24"/>
        </w:rPr>
      </w:pPr>
      <w:r>
        <w:rPr>
          <w:rFonts w:hAnsi="宋体" w:cs="宋体"/>
          <w:sz w:val="24"/>
          <w:szCs w:val="24"/>
          <w:lang w:val="zh-CN"/>
        </w:rPr>
        <w:t>日 期：</w:t>
      </w:r>
      <w:r>
        <w:rPr>
          <w:rFonts w:hint="eastAsia" w:hAnsi="宋体" w:cs="宋体"/>
          <w:sz w:val="24"/>
          <w:szCs w:val="24"/>
          <w:u w:val="single"/>
        </w:rPr>
        <w:t xml:space="preserve">                                </w:t>
      </w:r>
    </w:p>
    <w:p w14:paraId="2111AA44">
      <w:pPr>
        <w:autoSpaceDE w:val="0"/>
        <w:autoSpaceDN w:val="0"/>
        <w:adjustRightInd w:val="0"/>
        <w:spacing w:line="480" w:lineRule="auto"/>
        <w:jc w:val="center"/>
        <w:rPr>
          <w:rFonts w:hint="eastAsia" w:ascii="宋体" w:hAnsi="宋体" w:cs="宋体"/>
          <w:b/>
          <w:bCs/>
          <w:color w:val="000000"/>
          <w:sz w:val="28"/>
          <w:szCs w:val="28"/>
          <w:lang w:val="zh-CN"/>
        </w:rPr>
      </w:pPr>
    </w:p>
    <w:p w14:paraId="3DBDC221">
      <w:pPr>
        <w:autoSpaceDE w:val="0"/>
        <w:autoSpaceDN w:val="0"/>
        <w:adjustRightInd w:val="0"/>
        <w:spacing w:line="480" w:lineRule="auto"/>
        <w:jc w:val="center"/>
        <w:rPr>
          <w:rFonts w:hint="eastAsia" w:ascii="宋体" w:hAnsi="宋体" w:cs="宋体"/>
          <w:b/>
          <w:bCs/>
          <w:color w:val="000000"/>
          <w:sz w:val="28"/>
          <w:szCs w:val="28"/>
          <w:lang w:val="zh-CN"/>
        </w:rPr>
      </w:pPr>
    </w:p>
    <w:p w14:paraId="33CD3425">
      <w:pPr>
        <w:autoSpaceDE w:val="0"/>
        <w:autoSpaceDN w:val="0"/>
        <w:adjustRightInd w:val="0"/>
        <w:spacing w:line="480" w:lineRule="auto"/>
        <w:jc w:val="center"/>
        <w:rPr>
          <w:rFonts w:hint="eastAsia" w:ascii="宋体" w:hAnsi="宋体" w:cs="宋体"/>
          <w:b/>
          <w:bCs/>
          <w:color w:val="000000"/>
          <w:sz w:val="28"/>
          <w:szCs w:val="28"/>
          <w:lang w:val="zh-CN"/>
        </w:rPr>
      </w:pPr>
    </w:p>
    <w:p w14:paraId="62564635">
      <w:pPr>
        <w:autoSpaceDE w:val="0"/>
        <w:autoSpaceDN w:val="0"/>
        <w:adjustRightInd w:val="0"/>
        <w:spacing w:line="480" w:lineRule="auto"/>
        <w:jc w:val="center"/>
        <w:rPr>
          <w:rFonts w:hint="eastAsia" w:ascii="宋体" w:hAnsi="宋体" w:cs="宋体"/>
          <w:b/>
          <w:bCs/>
          <w:color w:val="000000"/>
          <w:sz w:val="28"/>
          <w:szCs w:val="28"/>
          <w:lang w:val="zh-CN"/>
        </w:rPr>
      </w:pPr>
    </w:p>
    <w:p w14:paraId="22D04622">
      <w:pPr>
        <w:autoSpaceDE w:val="0"/>
        <w:autoSpaceDN w:val="0"/>
        <w:adjustRightInd w:val="0"/>
        <w:spacing w:line="480" w:lineRule="auto"/>
        <w:jc w:val="center"/>
        <w:rPr>
          <w:rFonts w:hint="eastAsia" w:ascii="宋体" w:hAnsi="宋体" w:cs="宋体"/>
          <w:b/>
          <w:bCs/>
          <w:color w:val="000000"/>
          <w:sz w:val="28"/>
          <w:szCs w:val="28"/>
          <w:lang w:val="zh-CN"/>
        </w:rPr>
      </w:pPr>
    </w:p>
    <w:p w14:paraId="2B1F48E4">
      <w:pPr>
        <w:autoSpaceDE w:val="0"/>
        <w:autoSpaceDN w:val="0"/>
        <w:adjustRightInd w:val="0"/>
        <w:spacing w:line="480" w:lineRule="auto"/>
        <w:jc w:val="center"/>
        <w:rPr>
          <w:rFonts w:hint="eastAsia" w:ascii="宋体" w:hAnsi="宋体" w:cs="宋体"/>
          <w:b/>
          <w:bCs/>
          <w:color w:val="000000"/>
          <w:sz w:val="28"/>
          <w:szCs w:val="28"/>
          <w:lang w:val="zh-CN"/>
        </w:rPr>
      </w:pPr>
    </w:p>
    <w:p w14:paraId="6A3C11B1">
      <w:pPr>
        <w:pStyle w:val="3"/>
        <w:rPr>
          <w:lang w:val="zh-CN"/>
        </w:rPr>
      </w:pPr>
    </w:p>
    <w:p w14:paraId="1D7F9C5A">
      <w:pPr>
        <w:autoSpaceDE w:val="0"/>
        <w:autoSpaceDN w:val="0"/>
        <w:adjustRightInd w:val="0"/>
        <w:spacing w:line="480" w:lineRule="auto"/>
        <w:jc w:val="center"/>
        <w:rPr>
          <w:rFonts w:hint="eastAsia" w:ascii="宋体" w:hAnsi="宋体" w:cs="宋体"/>
          <w:b/>
          <w:bCs/>
          <w:color w:val="000000"/>
          <w:sz w:val="28"/>
          <w:szCs w:val="28"/>
          <w:lang w:val="zh-CN"/>
        </w:rPr>
      </w:pPr>
    </w:p>
    <w:p w14:paraId="439DF57F">
      <w:pPr>
        <w:autoSpaceDE w:val="0"/>
        <w:autoSpaceDN w:val="0"/>
        <w:adjustRightInd w:val="0"/>
        <w:jc w:val="center"/>
        <w:rPr>
          <w:rFonts w:hint="eastAsia" w:ascii="宋体" w:hAnsi="宋体" w:cs="宋体"/>
          <w:b/>
          <w:bCs/>
          <w:color w:val="000000"/>
          <w:sz w:val="28"/>
          <w:szCs w:val="28"/>
          <w:lang w:val="zh-CN"/>
        </w:rPr>
      </w:pPr>
      <w:r>
        <w:rPr>
          <w:rFonts w:hint="eastAsia" w:ascii="宋体" w:hAnsi="宋体" w:cs="宋体"/>
          <w:b/>
          <w:bCs/>
          <w:color w:val="000000"/>
          <w:sz w:val="28"/>
          <w:szCs w:val="28"/>
        </w:rPr>
        <w:t>七</w:t>
      </w:r>
      <w:r>
        <w:rPr>
          <w:rFonts w:hint="eastAsia" w:ascii="宋体" w:hAnsi="宋体" w:cs="宋体"/>
          <w:b/>
          <w:bCs/>
          <w:color w:val="000000"/>
          <w:sz w:val="28"/>
          <w:szCs w:val="28"/>
          <w:lang w:val="zh-CN"/>
        </w:rPr>
        <w:t>、投标人的资格声明</w:t>
      </w:r>
    </w:p>
    <w:p w14:paraId="1DDFE9F2">
      <w:pPr>
        <w:autoSpaceDE w:val="0"/>
        <w:autoSpaceDN w:val="0"/>
        <w:adjustRightInd w:val="0"/>
        <w:jc w:val="center"/>
        <w:rPr>
          <w:rFonts w:hint="eastAsia" w:ascii="宋体" w:hAnsi="宋体" w:cs="宋体"/>
          <w:b/>
          <w:bCs/>
          <w:color w:val="000000"/>
          <w:szCs w:val="21"/>
          <w:lang w:val="zh-CN"/>
        </w:rPr>
      </w:pPr>
    </w:p>
    <w:p w14:paraId="321EB677">
      <w:pPr>
        <w:autoSpaceDE w:val="0"/>
        <w:autoSpaceDN w:val="0"/>
        <w:adjustRightInd w:val="0"/>
        <w:rPr>
          <w:rFonts w:hint="eastAsia" w:ascii="宋体" w:hAnsi="宋体" w:cs="宋体"/>
          <w:bCs/>
          <w:color w:val="000000"/>
          <w:szCs w:val="21"/>
          <w:lang w:val="zh-CN"/>
        </w:rPr>
      </w:pPr>
    </w:p>
    <w:p w14:paraId="5F4ACCFE">
      <w:pPr>
        <w:spacing w:line="360" w:lineRule="auto"/>
        <w:rPr>
          <w:sz w:val="24"/>
          <w:szCs w:val="24"/>
        </w:rPr>
      </w:pPr>
      <w:r>
        <w:rPr>
          <w:rFonts w:hint="eastAsia"/>
          <w:sz w:val="24"/>
          <w:szCs w:val="24"/>
        </w:rPr>
        <w:t>致：</w:t>
      </w:r>
      <w:r>
        <w:rPr>
          <w:rFonts w:hint="eastAsia"/>
          <w:sz w:val="24"/>
          <w:szCs w:val="24"/>
          <w:u w:val="single"/>
        </w:rPr>
        <w:t xml:space="preserve">采购人或采购代理机构 </w:t>
      </w:r>
    </w:p>
    <w:p w14:paraId="53A71D57">
      <w:pPr>
        <w:spacing w:line="360" w:lineRule="auto"/>
        <w:rPr>
          <w:sz w:val="24"/>
          <w:szCs w:val="24"/>
        </w:rPr>
      </w:pPr>
      <w:r>
        <w:rPr>
          <w:rFonts w:hint="eastAsia"/>
          <w:sz w:val="24"/>
          <w:szCs w:val="24"/>
        </w:rPr>
        <w:t xml:space="preserve">在参与本次项目投标中，我单位承诺： </w:t>
      </w:r>
    </w:p>
    <w:p w14:paraId="4D1D701E">
      <w:pPr>
        <w:spacing w:line="360" w:lineRule="auto"/>
        <w:rPr>
          <w:sz w:val="24"/>
          <w:szCs w:val="24"/>
        </w:rPr>
      </w:pPr>
      <w:r>
        <w:rPr>
          <w:rFonts w:hint="eastAsia"/>
          <w:sz w:val="24"/>
          <w:szCs w:val="24"/>
        </w:rPr>
        <w:t xml:space="preserve">（一）具有良好的商业信誉和健全的财务会计制度； </w:t>
      </w:r>
    </w:p>
    <w:p w14:paraId="7D62FCBF">
      <w:pPr>
        <w:spacing w:line="360" w:lineRule="auto"/>
        <w:rPr>
          <w:sz w:val="24"/>
          <w:szCs w:val="24"/>
        </w:rPr>
      </w:pPr>
      <w:r>
        <w:rPr>
          <w:rFonts w:hint="eastAsia"/>
          <w:sz w:val="24"/>
          <w:szCs w:val="24"/>
        </w:rPr>
        <w:t xml:space="preserve">（二）具有履行合同所必需的设备和专业技术能力； </w:t>
      </w:r>
    </w:p>
    <w:p w14:paraId="59872106">
      <w:pPr>
        <w:spacing w:line="360" w:lineRule="auto"/>
        <w:rPr>
          <w:sz w:val="24"/>
          <w:szCs w:val="24"/>
        </w:rPr>
      </w:pPr>
      <w:r>
        <w:rPr>
          <w:rFonts w:hint="eastAsia"/>
          <w:sz w:val="24"/>
          <w:szCs w:val="24"/>
        </w:rPr>
        <w:t xml:space="preserve">（三）有依法缴纳税收和社会保障资金的良好记录； </w:t>
      </w:r>
    </w:p>
    <w:p w14:paraId="300AC3EA">
      <w:pPr>
        <w:spacing w:line="360" w:lineRule="auto"/>
        <w:rPr>
          <w:sz w:val="24"/>
          <w:szCs w:val="24"/>
        </w:rPr>
      </w:pPr>
      <w:r>
        <w:rPr>
          <w:rFonts w:hint="eastAsia"/>
          <w:sz w:val="24"/>
          <w:szCs w:val="24"/>
        </w:rPr>
        <w:t xml:space="preserve">（四）参加政府采购活动前三年内，在经营活动中没有重大违法记录（重大违法记录指因违法经营受到刑事处罚或者责令停产停业、吊销许可证或者执照、较大数额罚款等行政处罚，不包括因违法经营被禁止在一定期限内参加政府采购活动，但期限已经届满的情形）； </w:t>
      </w:r>
    </w:p>
    <w:p w14:paraId="280AAE98">
      <w:pPr>
        <w:spacing w:line="360" w:lineRule="auto"/>
        <w:rPr>
          <w:sz w:val="24"/>
          <w:szCs w:val="24"/>
        </w:rPr>
      </w:pPr>
      <w:r>
        <w:rPr>
          <w:rFonts w:hint="eastAsia"/>
          <w:sz w:val="24"/>
          <w:szCs w:val="24"/>
        </w:rPr>
        <w:t xml:space="preserve">（五）我单位不属于政府采购法律、行政法规规定的公益一类事业单位、或使用事业编制且由财政拨款保障的群团组织（仅适用于政府购买服务项目）； </w:t>
      </w:r>
    </w:p>
    <w:p w14:paraId="3CD8B4BE">
      <w:pPr>
        <w:spacing w:line="360" w:lineRule="auto"/>
        <w:rPr>
          <w:sz w:val="24"/>
          <w:szCs w:val="24"/>
        </w:rPr>
      </w:pPr>
      <w:r>
        <w:rPr>
          <w:rFonts w:hint="eastAsia"/>
          <w:sz w:val="24"/>
          <w:szCs w:val="24"/>
        </w:rPr>
        <w:t xml:space="preserve">（六）我单位不存在为采购项目提供整体设计、规范编制或者项目管理、监理、检测等服务后，再参加该采购项目的其他采购活动的情形（单一来源采购项目除外）； </w:t>
      </w:r>
    </w:p>
    <w:p w14:paraId="609AA75A">
      <w:pPr>
        <w:spacing w:line="360" w:lineRule="auto"/>
        <w:rPr>
          <w:rFonts w:hint="eastAsia" w:ascii="宋体" w:hAnsi="宋体" w:cs="宋体"/>
          <w:sz w:val="24"/>
          <w:szCs w:val="24"/>
        </w:rPr>
      </w:pPr>
      <w:r>
        <w:rPr>
          <w:rFonts w:hint="eastAsia"/>
          <w:sz w:val="24"/>
          <w:szCs w:val="24"/>
        </w:rPr>
        <w:t>上述声明真实有效，否则我方负全部责任。</w:t>
      </w:r>
      <w:r>
        <w:rPr>
          <w:rFonts w:hint="eastAsia" w:ascii="宋体" w:hAnsi="宋体" w:cs="宋体"/>
          <w:color w:val="000000"/>
          <w:kern w:val="0"/>
          <w:sz w:val="24"/>
          <w:szCs w:val="24"/>
          <w:lang w:bidi="ar"/>
        </w:rPr>
        <w:t xml:space="preserve"> </w:t>
      </w:r>
    </w:p>
    <w:p w14:paraId="281308BB">
      <w:pPr>
        <w:widowControl/>
        <w:jc w:val="right"/>
        <w:rPr>
          <w:rFonts w:hint="eastAsia" w:ascii="宋体" w:hAnsi="宋体" w:cs="宋体"/>
          <w:color w:val="000000"/>
          <w:kern w:val="0"/>
          <w:sz w:val="24"/>
          <w:szCs w:val="24"/>
          <w:lang w:bidi="ar"/>
        </w:rPr>
      </w:pPr>
    </w:p>
    <w:p w14:paraId="7D42AA06">
      <w:pPr>
        <w:widowControl/>
        <w:jc w:val="right"/>
        <w:rPr>
          <w:rFonts w:hint="eastAsia" w:ascii="宋体" w:hAnsi="宋体" w:cs="宋体"/>
          <w:color w:val="000000"/>
          <w:kern w:val="0"/>
          <w:sz w:val="24"/>
          <w:szCs w:val="24"/>
          <w:lang w:bidi="ar"/>
        </w:rPr>
      </w:pPr>
    </w:p>
    <w:p w14:paraId="01819BF3">
      <w:pPr>
        <w:widowControl/>
        <w:jc w:val="right"/>
        <w:rPr>
          <w:rFonts w:hint="eastAsia" w:ascii="宋体" w:hAnsi="宋体" w:cs="宋体"/>
          <w:color w:val="000000"/>
          <w:kern w:val="0"/>
          <w:sz w:val="24"/>
          <w:szCs w:val="24"/>
          <w:lang w:bidi="ar"/>
        </w:rPr>
      </w:pPr>
    </w:p>
    <w:p w14:paraId="64485ED1">
      <w:pPr>
        <w:widowControl/>
        <w:jc w:val="right"/>
        <w:rPr>
          <w:rFonts w:hint="eastAsia" w:ascii="宋体" w:hAnsi="宋体" w:cs="宋体"/>
          <w:color w:val="000000"/>
          <w:kern w:val="0"/>
          <w:sz w:val="24"/>
          <w:szCs w:val="24"/>
          <w:lang w:bidi="ar"/>
        </w:rPr>
      </w:pPr>
    </w:p>
    <w:p w14:paraId="476A51D7">
      <w:pPr>
        <w:widowControl/>
        <w:jc w:val="right"/>
        <w:rPr>
          <w:rFonts w:hint="eastAsia" w:ascii="宋体" w:hAnsi="宋体" w:cs="宋体"/>
          <w:color w:val="000000"/>
          <w:kern w:val="0"/>
          <w:sz w:val="24"/>
          <w:szCs w:val="24"/>
          <w:lang w:bidi="ar"/>
        </w:rPr>
      </w:pPr>
    </w:p>
    <w:p w14:paraId="54D28935">
      <w:pPr>
        <w:widowControl/>
        <w:spacing w:line="360" w:lineRule="auto"/>
        <w:jc w:val="right"/>
        <w:rPr>
          <w:rFonts w:hint="eastAsia" w:ascii="宋体" w:hAnsi="宋体" w:cs="宋体"/>
          <w:sz w:val="24"/>
          <w:szCs w:val="24"/>
        </w:rPr>
      </w:pPr>
      <w:r>
        <w:rPr>
          <w:rFonts w:hint="eastAsia" w:ascii="宋体" w:hAnsi="宋体" w:cs="宋体"/>
          <w:color w:val="000000"/>
          <w:kern w:val="0"/>
          <w:sz w:val="24"/>
          <w:szCs w:val="24"/>
          <w:lang w:bidi="ar"/>
        </w:rPr>
        <w:t xml:space="preserve">投标人名称（加盖公章）： ____________ </w:t>
      </w:r>
    </w:p>
    <w:p w14:paraId="2BE6A9DF">
      <w:pPr>
        <w:widowControl/>
        <w:spacing w:line="360" w:lineRule="auto"/>
        <w:jc w:val="right"/>
        <w:rPr>
          <w:rFonts w:hint="eastAsia" w:ascii="宋体" w:hAnsi="宋体" w:cs="宋体"/>
          <w:sz w:val="24"/>
          <w:szCs w:val="24"/>
        </w:rPr>
      </w:pPr>
      <w:r>
        <w:rPr>
          <w:rFonts w:hint="eastAsia" w:ascii="宋体" w:hAnsi="宋体" w:cs="宋体"/>
          <w:color w:val="000000"/>
          <w:kern w:val="0"/>
          <w:sz w:val="24"/>
          <w:szCs w:val="24"/>
          <w:lang w:bidi="ar"/>
        </w:rPr>
        <w:t xml:space="preserve">日期：_____年______月______日 </w:t>
      </w:r>
    </w:p>
    <w:p w14:paraId="4B0F8DE7">
      <w:pPr>
        <w:pStyle w:val="3"/>
        <w:rPr>
          <w:rFonts w:hint="eastAsia" w:ascii="宋体" w:hAnsi="宋体" w:eastAsia="宋体" w:cs="宋体"/>
          <w:color w:val="000000"/>
          <w:kern w:val="0"/>
          <w:sz w:val="24"/>
          <w:szCs w:val="24"/>
          <w:lang w:bidi="ar"/>
        </w:rPr>
      </w:pPr>
      <w:r>
        <w:rPr>
          <w:rFonts w:hint="eastAsia" w:ascii="宋体" w:hAnsi="宋体" w:eastAsia="宋体" w:cs="宋体"/>
          <w:color w:val="000000"/>
          <w:kern w:val="0"/>
          <w:sz w:val="24"/>
          <w:szCs w:val="24"/>
          <w:lang w:bidi="ar"/>
        </w:rPr>
        <w:t>说明：供应商承诺不实的，依据《政府采购法》第七十七条“提供虚假材料谋取中标、成交的”有关规定予以处理。</w:t>
      </w:r>
    </w:p>
    <w:p w14:paraId="2EC3B21B">
      <w:pPr>
        <w:autoSpaceDE w:val="0"/>
        <w:autoSpaceDN w:val="0"/>
        <w:adjustRightInd w:val="0"/>
        <w:spacing w:line="360" w:lineRule="auto"/>
        <w:jc w:val="center"/>
        <w:rPr>
          <w:rFonts w:hint="eastAsia" w:ascii="宋体" w:hAnsi="宋体" w:cs="宋体"/>
          <w:b/>
          <w:bCs/>
          <w:color w:val="000000"/>
          <w:sz w:val="28"/>
          <w:szCs w:val="28"/>
        </w:rPr>
      </w:pPr>
    </w:p>
    <w:p w14:paraId="249491D3">
      <w:pPr>
        <w:autoSpaceDE w:val="0"/>
        <w:autoSpaceDN w:val="0"/>
        <w:adjustRightInd w:val="0"/>
        <w:spacing w:line="360" w:lineRule="auto"/>
        <w:jc w:val="center"/>
        <w:rPr>
          <w:rFonts w:hint="eastAsia" w:ascii="宋体" w:hAnsi="宋体" w:cs="宋体"/>
          <w:b/>
          <w:bCs/>
          <w:color w:val="000000"/>
          <w:sz w:val="28"/>
          <w:szCs w:val="28"/>
        </w:rPr>
      </w:pPr>
    </w:p>
    <w:p w14:paraId="72AB0139">
      <w:pPr>
        <w:autoSpaceDE w:val="0"/>
        <w:autoSpaceDN w:val="0"/>
        <w:adjustRightInd w:val="0"/>
        <w:spacing w:line="360" w:lineRule="auto"/>
        <w:jc w:val="center"/>
        <w:rPr>
          <w:rFonts w:hint="eastAsia" w:ascii="宋体" w:hAnsi="宋体" w:cs="宋体"/>
          <w:b/>
          <w:bCs/>
          <w:color w:val="000000"/>
          <w:sz w:val="28"/>
          <w:szCs w:val="28"/>
        </w:rPr>
      </w:pPr>
    </w:p>
    <w:p w14:paraId="255AE30A">
      <w:pPr>
        <w:autoSpaceDE w:val="0"/>
        <w:autoSpaceDN w:val="0"/>
        <w:adjustRightInd w:val="0"/>
        <w:spacing w:line="360" w:lineRule="auto"/>
        <w:jc w:val="center"/>
        <w:rPr>
          <w:rFonts w:hint="eastAsia" w:ascii="宋体" w:hAnsi="宋体" w:cs="宋体"/>
          <w:b/>
          <w:bCs/>
          <w:color w:val="000000"/>
          <w:sz w:val="28"/>
          <w:szCs w:val="28"/>
        </w:rPr>
      </w:pPr>
    </w:p>
    <w:p w14:paraId="2AC4CFE0">
      <w:pPr>
        <w:autoSpaceDE w:val="0"/>
        <w:autoSpaceDN w:val="0"/>
        <w:adjustRightInd w:val="0"/>
        <w:spacing w:line="360" w:lineRule="auto"/>
        <w:jc w:val="center"/>
        <w:rPr>
          <w:rFonts w:hint="eastAsia" w:ascii="宋体" w:hAnsi="宋体" w:cs="宋体"/>
          <w:b/>
          <w:bCs/>
          <w:color w:val="000000"/>
          <w:sz w:val="28"/>
          <w:szCs w:val="28"/>
        </w:rPr>
      </w:pPr>
    </w:p>
    <w:p w14:paraId="5B6784AA">
      <w:pPr>
        <w:spacing w:after="240"/>
        <w:ind w:hanging="119"/>
        <w:jc w:val="center"/>
        <w:rPr>
          <w:rFonts w:hint="eastAsia" w:ascii="宋体" w:hAnsi="宋体" w:cs="宋体"/>
          <w:b/>
          <w:sz w:val="28"/>
          <w:szCs w:val="28"/>
        </w:rPr>
      </w:pPr>
      <w:r>
        <w:rPr>
          <w:rFonts w:hint="eastAsia" w:ascii="宋体" w:hAnsi="宋体" w:cs="宋体"/>
          <w:b/>
          <w:sz w:val="28"/>
          <w:szCs w:val="28"/>
        </w:rPr>
        <w:t>八、合同条款偏离表</w:t>
      </w:r>
    </w:p>
    <w:p w14:paraId="2D5941C1">
      <w:pPr>
        <w:autoSpaceDE w:val="0"/>
        <w:autoSpaceDN w:val="0"/>
        <w:adjustRightInd w:val="0"/>
        <w:ind w:firstLine="360" w:firstLineChars="150"/>
        <w:rPr>
          <w:rFonts w:hint="eastAsia" w:ascii="宋体" w:hAnsi="宋体" w:cs="宋体"/>
          <w:bCs/>
          <w:sz w:val="24"/>
          <w:szCs w:val="24"/>
          <w:lang w:val="zh-CN"/>
        </w:rPr>
      </w:pPr>
      <w:r>
        <w:rPr>
          <w:rFonts w:hint="eastAsia" w:ascii="宋体" w:hAnsi="宋体" w:cs="宋体"/>
          <w:bCs/>
          <w:sz w:val="24"/>
          <w:szCs w:val="24"/>
          <w:lang w:val="zh-CN"/>
        </w:rPr>
        <w:t xml:space="preserve">项目名称：                            </w:t>
      </w:r>
    </w:p>
    <w:p w14:paraId="543C5457">
      <w:pPr>
        <w:autoSpaceDE w:val="0"/>
        <w:autoSpaceDN w:val="0"/>
        <w:adjustRightInd w:val="0"/>
        <w:ind w:firstLine="360" w:firstLineChars="150"/>
        <w:rPr>
          <w:rFonts w:hint="eastAsia" w:ascii="宋体" w:hAnsi="宋体" w:cs="宋体"/>
          <w:bCs/>
          <w:sz w:val="24"/>
          <w:szCs w:val="24"/>
          <w:lang w:val="zh-CN"/>
        </w:rPr>
      </w:pPr>
      <w:r>
        <w:rPr>
          <w:rFonts w:hint="eastAsia" w:ascii="宋体" w:hAnsi="宋体" w:cs="宋体"/>
          <w:bCs/>
          <w:sz w:val="24"/>
          <w:szCs w:val="24"/>
          <w:lang w:val="zh-CN"/>
        </w:rPr>
        <w:t>项目编号：</w:t>
      </w:r>
    </w:p>
    <w:tbl>
      <w:tblPr>
        <w:tblStyle w:val="78"/>
        <w:tblW w:w="5015" w:type="pct"/>
        <w:tblInd w:w="0"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autofit"/>
        <w:tblCellMar>
          <w:top w:w="0" w:type="dxa"/>
          <w:left w:w="0" w:type="dxa"/>
          <w:bottom w:w="0" w:type="dxa"/>
          <w:right w:w="0" w:type="dxa"/>
        </w:tblCellMar>
      </w:tblPr>
      <w:tblGrid>
        <w:gridCol w:w="1206"/>
        <w:gridCol w:w="2819"/>
        <w:gridCol w:w="2565"/>
        <w:gridCol w:w="1966"/>
        <w:gridCol w:w="1225"/>
      </w:tblGrid>
      <w:tr w14:paraId="2A404BC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012" w:hRule="atLeast"/>
        </w:trPr>
        <w:tc>
          <w:tcPr>
            <w:tcW w:w="617" w:type="pct"/>
          </w:tcPr>
          <w:p w14:paraId="297C7588">
            <w:pPr>
              <w:spacing w:line="270" w:lineRule="auto"/>
              <w:jc w:val="center"/>
              <w:rPr>
                <w:rFonts w:hint="eastAsia" w:ascii="宋体" w:hAnsi="宋体" w:cs="宋体"/>
                <w:sz w:val="24"/>
                <w:szCs w:val="24"/>
              </w:rPr>
            </w:pPr>
          </w:p>
          <w:p w14:paraId="26B5B9C6">
            <w:pPr>
              <w:spacing w:before="78" w:line="222" w:lineRule="auto"/>
              <w:ind w:left="344"/>
              <w:rPr>
                <w:rFonts w:hint="eastAsia" w:ascii="宋体" w:hAnsi="宋体" w:cs="宋体"/>
                <w:sz w:val="24"/>
                <w:szCs w:val="24"/>
              </w:rPr>
            </w:pPr>
            <w:r>
              <w:rPr>
                <w:rFonts w:hint="eastAsia" w:ascii="宋体" w:hAnsi="宋体" w:cs="宋体"/>
                <w:spacing w:val="-3"/>
                <w:sz w:val="24"/>
                <w:szCs w:val="24"/>
              </w:rPr>
              <w:t>序</w:t>
            </w:r>
            <w:r>
              <w:rPr>
                <w:rFonts w:hint="eastAsia" w:ascii="宋体" w:hAnsi="宋体" w:cs="宋体"/>
                <w:spacing w:val="-2"/>
                <w:sz w:val="24"/>
                <w:szCs w:val="24"/>
              </w:rPr>
              <w:t>号</w:t>
            </w:r>
          </w:p>
        </w:tc>
        <w:tc>
          <w:tcPr>
            <w:tcW w:w="1441" w:type="pct"/>
          </w:tcPr>
          <w:p w14:paraId="24A4B2D4">
            <w:pPr>
              <w:spacing w:line="270" w:lineRule="auto"/>
              <w:jc w:val="center"/>
              <w:rPr>
                <w:rFonts w:hint="eastAsia" w:ascii="宋体" w:hAnsi="宋体" w:cs="宋体"/>
                <w:sz w:val="24"/>
                <w:szCs w:val="24"/>
              </w:rPr>
            </w:pPr>
          </w:p>
          <w:p w14:paraId="5D6D36F2">
            <w:pPr>
              <w:spacing w:before="78" w:line="220" w:lineRule="auto"/>
              <w:ind w:left="124"/>
              <w:jc w:val="center"/>
              <w:rPr>
                <w:rFonts w:hint="eastAsia" w:ascii="宋体" w:hAnsi="宋体" w:cs="宋体"/>
                <w:sz w:val="24"/>
                <w:szCs w:val="24"/>
              </w:rPr>
            </w:pPr>
            <w:r>
              <w:rPr>
                <w:rFonts w:hint="eastAsia" w:ascii="宋体" w:hAnsi="宋体" w:cs="宋体"/>
                <w:spacing w:val="-2"/>
                <w:sz w:val="24"/>
                <w:szCs w:val="24"/>
              </w:rPr>
              <w:t>竞争性磋商文</w:t>
            </w:r>
            <w:r>
              <w:rPr>
                <w:rFonts w:hint="eastAsia" w:ascii="宋体" w:hAnsi="宋体" w:cs="宋体"/>
                <w:spacing w:val="-1"/>
                <w:sz w:val="24"/>
                <w:szCs w:val="24"/>
              </w:rPr>
              <w:t>件要求</w:t>
            </w:r>
          </w:p>
        </w:tc>
        <w:tc>
          <w:tcPr>
            <w:tcW w:w="1311" w:type="pct"/>
          </w:tcPr>
          <w:p w14:paraId="41E1CA24">
            <w:pPr>
              <w:spacing w:line="270" w:lineRule="auto"/>
              <w:jc w:val="center"/>
              <w:rPr>
                <w:rFonts w:hint="eastAsia" w:ascii="宋体" w:hAnsi="宋体" w:cs="宋体"/>
                <w:sz w:val="24"/>
                <w:szCs w:val="24"/>
              </w:rPr>
            </w:pPr>
          </w:p>
          <w:p w14:paraId="0E1493F5">
            <w:pPr>
              <w:spacing w:before="78" w:line="220" w:lineRule="auto"/>
              <w:ind w:left="127"/>
              <w:jc w:val="center"/>
              <w:rPr>
                <w:rFonts w:hint="eastAsia" w:ascii="宋体" w:hAnsi="宋体" w:cs="宋体"/>
                <w:sz w:val="24"/>
                <w:szCs w:val="24"/>
              </w:rPr>
            </w:pPr>
            <w:r>
              <w:rPr>
                <w:rFonts w:hint="eastAsia" w:ascii="宋体" w:hAnsi="宋体" w:cs="宋体"/>
                <w:spacing w:val="-2"/>
                <w:sz w:val="24"/>
                <w:szCs w:val="24"/>
              </w:rPr>
              <w:t>响应文件内</w:t>
            </w:r>
            <w:r>
              <w:rPr>
                <w:rFonts w:hint="eastAsia" w:ascii="宋体" w:hAnsi="宋体" w:cs="宋体"/>
                <w:spacing w:val="-1"/>
                <w:sz w:val="24"/>
                <w:szCs w:val="24"/>
              </w:rPr>
              <w:t>容</w:t>
            </w:r>
          </w:p>
        </w:tc>
        <w:tc>
          <w:tcPr>
            <w:tcW w:w="1005" w:type="pct"/>
          </w:tcPr>
          <w:p w14:paraId="467CDF6B">
            <w:pPr>
              <w:spacing w:line="270" w:lineRule="auto"/>
              <w:jc w:val="center"/>
              <w:rPr>
                <w:rFonts w:hint="eastAsia" w:ascii="宋体" w:hAnsi="宋体" w:cs="宋体"/>
                <w:sz w:val="24"/>
                <w:szCs w:val="24"/>
              </w:rPr>
            </w:pPr>
          </w:p>
          <w:p w14:paraId="3F93D54D">
            <w:pPr>
              <w:spacing w:before="78" w:line="220" w:lineRule="auto"/>
              <w:ind w:left="465"/>
              <w:rPr>
                <w:rFonts w:hint="eastAsia" w:ascii="宋体" w:hAnsi="宋体" w:cs="宋体"/>
                <w:sz w:val="24"/>
                <w:szCs w:val="24"/>
              </w:rPr>
            </w:pPr>
            <w:r>
              <w:rPr>
                <w:rFonts w:hint="eastAsia" w:ascii="宋体" w:hAnsi="宋体" w:cs="宋体"/>
                <w:spacing w:val="-2"/>
                <w:sz w:val="24"/>
                <w:szCs w:val="24"/>
              </w:rPr>
              <w:t>偏离情</w:t>
            </w:r>
            <w:r>
              <w:rPr>
                <w:rFonts w:hint="eastAsia" w:ascii="宋体" w:hAnsi="宋体" w:cs="宋体"/>
                <w:spacing w:val="-1"/>
                <w:sz w:val="24"/>
                <w:szCs w:val="24"/>
              </w:rPr>
              <w:t>况</w:t>
            </w:r>
          </w:p>
        </w:tc>
        <w:tc>
          <w:tcPr>
            <w:tcW w:w="623" w:type="pct"/>
          </w:tcPr>
          <w:p w14:paraId="256AC51D">
            <w:pPr>
              <w:spacing w:line="270" w:lineRule="auto"/>
              <w:jc w:val="center"/>
              <w:rPr>
                <w:rFonts w:hint="eastAsia" w:ascii="宋体" w:hAnsi="宋体" w:cs="宋体"/>
                <w:sz w:val="24"/>
                <w:szCs w:val="24"/>
              </w:rPr>
            </w:pPr>
          </w:p>
          <w:p w14:paraId="0C18B0B8">
            <w:pPr>
              <w:spacing w:before="78" w:line="220" w:lineRule="auto"/>
              <w:ind w:left="336"/>
              <w:rPr>
                <w:rFonts w:hint="eastAsia" w:ascii="宋体" w:hAnsi="宋体" w:cs="宋体"/>
                <w:sz w:val="24"/>
                <w:szCs w:val="24"/>
              </w:rPr>
            </w:pPr>
            <w:r>
              <w:rPr>
                <w:rFonts w:hint="eastAsia" w:ascii="宋体" w:hAnsi="宋体" w:cs="宋体"/>
                <w:spacing w:val="-4"/>
                <w:sz w:val="24"/>
                <w:szCs w:val="24"/>
              </w:rPr>
              <w:t>说</w:t>
            </w:r>
            <w:r>
              <w:rPr>
                <w:rFonts w:hint="eastAsia" w:ascii="宋体" w:hAnsi="宋体" w:cs="宋体"/>
                <w:spacing w:val="-3"/>
                <w:sz w:val="24"/>
                <w:szCs w:val="24"/>
              </w:rPr>
              <w:t>明</w:t>
            </w:r>
          </w:p>
        </w:tc>
      </w:tr>
      <w:tr w14:paraId="7F8F210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833" w:hRule="atLeast"/>
        </w:trPr>
        <w:tc>
          <w:tcPr>
            <w:tcW w:w="5000" w:type="pct"/>
            <w:gridSpan w:val="5"/>
          </w:tcPr>
          <w:p w14:paraId="7FA6D478">
            <w:pPr>
              <w:spacing w:before="38" w:line="190" w:lineRule="auto"/>
              <w:ind w:left="116"/>
              <w:rPr>
                <w:rFonts w:hint="eastAsia" w:ascii="宋体" w:hAnsi="宋体" w:cs="宋体"/>
                <w:sz w:val="24"/>
                <w:szCs w:val="24"/>
              </w:rPr>
            </w:pPr>
            <w:r>
              <w:rPr>
                <w:rFonts w:hint="eastAsia" w:ascii="宋体" w:hAnsi="宋体" w:cs="宋体"/>
                <w:spacing w:val="9"/>
                <w:sz w:val="24"/>
                <w:szCs w:val="24"/>
              </w:rPr>
              <w:t>对本项目合同条款的偏离情况 (应进行选择，未选择投标无效)</w:t>
            </w:r>
            <w:r>
              <w:rPr>
                <w:rFonts w:hint="eastAsia" w:ascii="宋体" w:hAnsi="宋体" w:cs="宋体"/>
                <w:spacing w:val="4"/>
                <w:sz w:val="24"/>
                <w:szCs w:val="24"/>
              </w:rPr>
              <w:t>：</w:t>
            </w:r>
          </w:p>
          <w:p w14:paraId="3E3209FD">
            <w:pPr>
              <w:spacing w:before="1" w:line="249" w:lineRule="auto"/>
              <w:ind w:left="118" w:right="106" w:firstLine="11"/>
              <w:rPr>
                <w:rFonts w:hint="eastAsia" w:ascii="宋体" w:hAnsi="宋体" w:cs="宋体"/>
                <w:sz w:val="24"/>
                <w:szCs w:val="24"/>
              </w:rPr>
            </w:pPr>
            <w:r>
              <w:rPr>
                <w:rFonts w:hint="eastAsia" w:ascii="宋体" w:hAnsi="宋体" w:cs="宋体"/>
                <w:b/>
                <w:bCs/>
                <w:spacing w:val="2"/>
                <w:sz w:val="24"/>
                <w:szCs w:val="24"/>
              </w:rPr>
              <w:t>□</w:t>
            </w:r>
            <w:r>
              <w:rPr>
                <w:rFonts w:hint="eastAsia" w:ascii="宋体" w:hAnsi="宋体" w:cs="宋体"/>
                <w:spacing w:val="2"/>
                <w:sz w:val="24"/>
                <w:szCs w:val="24"/>
              </w:rPr>
              <w:t>无偏离 (如无偏离，仅选择</w:t>
            </w:r>
            <w:r>
              <w:rPr>
                <w:rFonts w:hint="eastAsia" w:ascii="宋体" w:hAnsi="宋体" w:cs="宋体"/>
                <w:spacing w:val="1"/>
                <w:sz w:val="24"/>
                <w:szCs w:val="24"/>
              </w:rPr>
              <w:t>无偏离即可；无偏离即为对合同条款中的所有要求，均视</w:t>
            </w:r>
            <w:r>
              <w:rPr>
                <w:rFonts w:hint="eastAsia" w:ascii="宋体" w:hAnsi="宋体" w:cs="宋体"/>
                <w:spacing w:val="-1"/>
                <w:sz w:val="24"/>
                <w:szCs w:val="24"/>
              </w:rPr>
              <w:t>作供应商已对之理解和响应</w:t>
            </w:r>
            <w:r>
              <w:rPr>
                <w:rFonts w:hint="eastAsia" w:ascii="宋体" w:hAnsi="宋体" w:cs="宋体"/>
                <w:sz w:val="24"/>
                <w:szCs w:val="24"/>
              </w:rPr>
              <w:t>。)</w:t>
            </w:r>
          </w:p>
          <w:p w14:paraId="20B5F545">
            <w:pPr>
              <w:spacing w:line="266" w:lineRule="auto"/>
              <w:ind w:left="137" w:right="107" w:hanging="7"/>
              <w:rPr>
                <w:rFonts w:hint="eastAsia" w:ascii="宋体" w:hAnsi="宋体" w:cs="宋体"/>
                <w:sz w:val="24"/>
                <w:szCs w:val="24"/>
              </w:rPr>
            </w:pPr>
            <w:r>
              <w:rPr>
                <w:rFonts w:hint="eastAsia" w:ascii="宋体" w:hAnsi="宋体" w:cs="宋体"/>
                <w:b/>
                <w:bCs/>
                <w:spacing w:val="8"/>
                <w:sz w:val="24"/>
                <w:szCs w:val="24"/>
              </w:rPr>
              <w:t>□</w:t>
            </w:r>
            <w:r>
              <w:rPr>
                <w:rFonts w:hint="eastAsia" w:ascii="宋体" w:hAnsi="宋体" w:cs="宋体"/>
                <w:spacing w:val="7"/>
                <w:sz w:val="24"/>
                <w:szCs w:val="24"/>
              </w:rPr>
              <w:t>有</w:t>
            </w:r>
            <w:r>
              <w:rPr>
                <w:rFonts w:hint="eastAsia" w:ascii="宋体" w:hAnsi="宋体" w:cs="宋体"/>
                <w:spacing w:val="4"/>
                <w:sz w:val="24"/>
                <w:szCs w:val="24"/>
              </w:rPr>
              <w:t>偏离 (如有偏离，则应在本表中对偏离项逐一列明，否则投标无效；对合同条款中</w:t>
            </w:r>
            <w:r>
              <w:rPr>
                <w:rFonts w:hint="eastAsia" w:ascii="宋体" w:hAnsi="宋体" w:cs="宋体"/>
                <w:spacing w:val="8"/>
                <w:sz w:val="24"/>
                <w:szCs w:val="24"/>
              </w:rPr>
              <w:t>的所有要求</w:t>
            </w:r>
            <w:r>
              <w:rPr>
                <w:rFonts w:hint="eastAsia" w:ascii="宋体" w:hAnsi="宋体" w:cs="宋体"/>
                <w:spacing w:val="6"/>
                <w:sz w:val="24"/>
                <w:szCs w:val="24"/>
              </w:rPr>
              <w:t>，</w:t>
            </w:r>
            <w:r>
              <w:rPr>
                <w:rFonts w:hint="eastAsia" w:ascii="宋体" w:hAnsi="宋体" w:cs="宋体"/>
                <w:spacing w:val="4"/>
                <w:sz w:val="24"/>
                <w:szCs w:val="24"/>
              </w:rPr>
              <w:t>除本表列明的偏离外，均视作供应商已对之理解和响应。)</w:t>
            </w:r>
          </w:p>
        </w:tc>
      </w:tr>
      <w:tr w14:paraId="20475CA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934" w:hRule="atLeast"/>
        </w:trPr>
        <w:tc>
          <w:tcPr>
            <w:tcW w:w="617" w:type="pct"/>
          </w:tcPr>
          <w:p w14:paraId="30F3A00D">
            <w:pPr>
              <w:rPr>
                <w:rFonts w:hint="eastAsia" w:ascii="宋体" w:hAnsi="宋体" w:cs="宋体"/>
                <w:sz w:val="24"/>
                <w:szCs w:val="24"/>
              </w:rPr>
            </w:pPr>
          </w:p>
        </w:tc>
        <w:tc>
          <w:tcPr>
            <w:tcW w:w="1441" w:type="pct"/>
          </w:tcPr>
          <w:p w14:paraId="0D4FF2B6">
            <w:pPr>
              <w:rPr>
                <w:rFonts w:hint="eastAsia" w:ascii="宋体" w:hAnsi="宋体" w:cs="宋体"/>
                <w:sz w:val="24"/>
                <w:szCs w:val="24"/>
              </w:rPr>
            </w:pPr>
          </w:p>
        </w:tc>
        <w:tc>
          <w:tcPr>
            <w:tcW w:w="1311" w:type="pct"/>
          </w:tcPr>
          <w:p w14:paraId="4F1ED761">
            <w:pPr>
              <w:rPr>
                <w:rFonts w:hint="eastAsia" w:ascii="宋体" w:hAnsi="宋体" w:cs="宋体"/>
                <w:sz w:val="24"/>
                <w:szCs w:val="24"/>
              </w:rPr>
            </w:pPr>
          </w:p>
        </w:tc>
        <w:tc>
          <w:tcPr>
            <w:tcW w:w="1005" w:type="pct"/>
          </w:tcPr>
          <w:p w14:paraId="6D3984F8">
            <w:pPr>
              <w:rPr>
                <w:rFonts w:hint="eastAsia" w:ascii="宋体" w:hAnsi="宋体" w:cs="宋体"/>
                <w:sz w:val="24"/>
                <w:szCs w:val="24"/>
              </w:rPr>
            </w:pPr>
          </w:p>
        </w:tc>
        <w:tc>
          <w:tcPr>
            <w:tcW w:w="623" w:type="pct"/>
          </w:tcPr>
          <w:p w14:paraId="52AF0B0A">
            <w:pPr>
              <w:rPr>
                <w:rFonts w:hint="eastAsia" w:ascii="宋体" w:hAnsi="宋体" w:cs="宋体"/>
                <w:sz w:val="24"/>
                <w:szCs w:val="24"/>
              </w:rPr>
            </w:pPr>
          </w:p>
        </w:tc>
      </w:tr>
      <w:tr w14:paraId="1D6054E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934" w:hRule="atLeast"/>
        </w:trPr>
        <w:tc>
          <w:tcPr>
            <w:tcW w:w="617" w:type="pct"/>
          </w:tcPr>
          <w:p w14:paraId="6CBAE462">
            <w:pPr>
              <w:rPr>
                <w:rFonts w:hint="eastAsia" w:ascii="宋体" w:hAnsi="宋体" w:cs="宋体"/>
                <w:sz w:val="24"/>
                <w:szCs w:val="24"/>
              </w:rPr>
            </w:pPr>
          </w:p>
        </w:tc>
        <w:tc>
          <w:tcPr>
            <w:tcW w:w="1441" w:type="pct"/>
          </w:tcPr>
          <w:p w14:paraId="58D882C1">
            <w:pPr>
              <w:rPr>
                <w:rFonts w:hint="eastAsia" w:ascii="宋体" w:hAnsi="宋体" w:cs="宋体"/>
                <w:sz w:val="24"/>
                <w:szCs w:val="24"/>
              </w:rPr>
            </w:pPr>
          </w:p>
        </w:tc>
        <w:tc>
          <w:tcPr>
            <w:tcW w:w="1311" w:type="pct"/>
          </w:tcPr>
          <w:p w14:paraId="051D0966">
            <w:pPr>
              <w:rPr>
                <w:rFonts w:hint="eastAsia" w:ascii="宋体" w:hAnsi="宋体" w:cs="宋体"/>
                <w:sz w:val="24"/>
                <w:szCs w:val="24"/>
              </w:rPr>
            </w:pPr>
          </w:p>
        </w:tc>
        <w:tc>
          <w:tcPr>
            <w:tcW w:w="1005" w:type="pct"/>
          </w:tcPr>
          <w:p w14:paraId="45FE3504">
            <w:pPr>
              <w:rPr>
                <w:rFonts w:hint="eastAsia" w:ascii="宋体" w:hAnsi="宋体" w:cs="宋体"/>
                <w:sz w:val="24"/>
                <w:szCs w:val="24"/>
              </w:rPr>
            </w:pPr>
          </w:p>
        </w:tc>
        <w:tc>
          <w:tcPr>
            <w:tcW w:w="623" w:type="pct"/>
          </w:tcPr>
          <w:p w14:paraId="4444C5AD">
            <w:pPr>
              <w:rPr>
                <w:rFonts w:hint="eastAsia" w:ascii="宋体" w:hAnsi="宋体" w:cs="宋体"/>
                <w:sz w:val="24"/>
                <w:szCs w:val="24"/>
              </w:rPr>
            </w:pPr>
          </w:p>
        </w:tc>
      </w:tr>
      <w:tr w14:paraId="44313C9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934" w:hRule="atLeast"/>
        </w:trPr>
        <w:tc>
          <w:tcPr>
            <w:tcW w:w="617" w:type="pct"/>
          </w:tcPr>
          <w:p w14:paraId="13A67166">
            <w:pPr>
              <w:rPr>
                <w:rFonts w:hint="eastAsia" w:ascii="宋体" w:hAnsi="宋体" w:cs="宋体"/>
                <w:sz w:val="24"/>
                <w:szCs w:val="24"/>
              </w:rPr>
            </w:pPr>
          </w:p>
        </w:tc>
        <w:tc>
          <w:tcPr>
            <w:tcW w:w="1441" w:type="pct"/>
          </w:tcPr>
          <w:p w14:paraId="7359081B">
            <w:pPr>
              <w:rPr>
                <w:rFonts w:hint="eastAsia" w:ascii="宋体" w:hAnsi="宋体" w:cs="宋体"/>
                <w:sz w:val="24"/>
                <w:szCs w:val="24"/>
              </w:rPr>
            </w:pPr>
          </w:p>
        </w:tc>
        <w:tc>
          <w:tcPr>
            <w:tcW w:w="1311" w:type="pct"/>
          </w:tcPr>
          <w:p w14:paraId="3998DA89">
            <w:pPr>
              <w:rPr>
                <w:rFonts w:hint="eastAsia" w:ascii="宋体" w:hAnsi="宋体" w:cs="宋体"/>
                <w:sz w:val="24"/>
                <w:szCs w:val="24"/>
              </w:rPr>
            </w:pPr>
          </w:p>
        </w:tc>
        <w:tc>
          <w:tcPr>
            <w:tcW w:w="1005" w:type="pct"/>
          </w:tcPr>
          <w:p w14:paraId="380494CF">
            <w:pPr>
              <w:rPr>
                <w:rFonts w:hint="eastAsia" w:ascii="宋体" w:hAnsi="宋体" w:cs="宋体"/>
                <w:sz w:val="24"/>
                <w:szCs w:val="24"/>
              </w:rPr>
            </w:pPr>
          </w:p>
        </w:tc>
        <w:tc>
          <w:tcPr>
            <w:tcW w:w="623" w:type="pct"/>
          </w:tcPr>
          <w:p w14:paraId="22CD9747">
            <w:pPr>
              <w:rPr>
                <w:rFonts w:hint="eastAsia" w:ascii="宋体" w:hAnsi="宋体" w:cs="宋体"/>
                <w:sz w:val="24"/>
                <w:szCs w:val="24"/>
              </w:rPr>
            </w:pPr>
          </w:p>
        </w:tc>
      </w:tr>
      <w:tr w14:paraId="1D0E6A1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939" w:hRule="atLeast"/>
        </w:trPr>
        <w:tc>
          <w:tcPr>
            <w:tcW w:w="617" w:type="pct"/>
          </w:tcPr>
          <w:p w14:paraId="2FEF00E5">
            <w:pPr>
              <w:rPr>
                <w:rFonts w:hint="eastAsia" w:ascii="宋体" w:hAnsi="宋体" w:cs="宋体"/>
                <w:sz w:val="24"/>
                <w:szCs w:val="24"/>
              </w:rPr>
            </w:pPr>
          </w:p>
        </w:tc>
        <w:tc>
          <w:tcPr>
            <w:tcW w:w="1441" w:type="pct"/>
          </w:tcPr>
          <w:p w14:paraId="7F020AF5">
            <w:pPr>
              <w:rPr>
                <w:rFonts w:hint="eastAsia" w:ascii="宋体" w:hAnsi="宋体" w:cs="宋体"/>
                <w:sz w:val="24"/>
                <w:szCs w:val="24"/>
              </w:rPr>
            </w:pPr>
          </w:p>
        </w:tc>
        <w:tc>
          <w:tcPr>
            <w:tcW w:w="1311" w:type="pct"/>
          </w:tcPr>
          <w:p w14:paraId="0C6B5AEF">
            <w:pPr>
              <w:rPr>
                <w:rFonts w:hint="eastAsia" w:ascii="宋体" w:hAnsi="宋体" w:cs="宋体"/>
                <w:sz w:val="24"/>
                <w:szCs w:val="24"/>
              </w:rPr>
            </w:pPr>
          </w:p>
        </w:tc>
        <w:tc>
          <w:tcPr>
            <w:tcW w:w="1005" w:type="pct"/>
          </w:tcPr>
          <w:p w14:paraId="0D8C351B">
            <w:pPr>
              <w:rPr>
                <w:rFonts w:hint="eastAsia" w:ascii="宋体" w:hAnsi="宋体" w:cs="宋体"/>
                <w:sz w:val="24"/>
                <w:szCs w:val="24"/>
              </w:rPr>
            </w:pPr>
          </w:p>
        </w:tc>
        <w:tc>
          <w:tcPr>
            <w:tcW w:w="623" w:type="pct"/>
          </w:tcPr>
          <w:p w14:paraId="56DDFBB6">
            <w:pPr>
              <w:rPr>
                <w:rFonts w:hint="eastAsia" w:ascii="宋体" w:hAnsi="宋体" w:cs="宋体"/>
                <w:sz w:val="24"/>
                <w:szCs w:val="24"/>
              </w:rPr>
            </w:pPr>
          </w:p>
        </w:tc>
      </w:tr>
    </w:tbl>
    <w:p w14:paraId="4D086FDC">
      <w:pPr>
        <w:autoSpaceDE w:val="0"/>
        <w:autoSpaceDN w:val="0"/>
        <w:adjustRightInd w:val="0"/>
        <w:snapToGrid w:val="0"/>
        <w:spacing w:line="360" w:lineRule="auto"/>
        <w:jc w:val="left"/>
        <w:rPr>
          <w:rFonts w:hint="eastAsia" w:ascii="宋体" w:hAnsi="宋体" w:cs="宋体"/>
          <w:sz w:val="24"/>
          <w:szCs w:val="24"/>
        </w:rPr>
      </w:pPr>
      <w:r>
        <w:rPr>
          <w:rFonts w:hint="eastAsia" w:ascii="宋体" w:hAnsi="宋体" w:cs="宋体"/>
          <w:sz w:val="24"/>
          <w:szCs w:val="24"/>
        </w:rPr>
        <w:t>说明：1.偏离情况项填写“正偏离”、“负偏离”，说明项中填写原因。</w:t>
      </w:r>
    </w:p>
    <w:p w14:paraId="57B828A8">
      <w:pPr>
        <w:pStyle w:val="10"/>
        <w:snapToGrid w:val="0"/>
        <w:spacing w:line="360" w:lineRule="auto"/>
        <w:jc w:val="left"/>
        <w:rPr>
          <w:rFonts w:hint="eastAsia" w:hAnsi="宋体" w:cs="宋体"/>
          <w:sz w:val="24"/>
          <w:szCs w:val="24"/>
          <w:lang w:val="zh-CN"/>
        </w:rPr>
      </w:pPr>
      <w:r>
        <w:rPr>
          <w:rFonts w:hint="eastAsia" w:hAnsi="宋体" w:cs="宋体"/>
          <w:sz w:val="24"/>
          <w:szCs w:val="24"/>
        </w:rPr>
        <w:t>2.投标人必须据实填写，不得虚假响应，否则将取消其投标或中标资格，并按有关规定进处罚。</w:t>
      </w:r>
    </w:p>
    <w:p w14:paraId="4EFC97C9">
      <w:pPr>
        <w:pStyle w:val="10"/>
        <w:spacing w:line="480" w:lineRule="auto"/>
        <w:rPr>
          <w:rFonts w:hint="eastAsia" w:hAnsi="宋体" w:cs="宋体"/>
          <w:sz w:val="24"/>
          <w:szCs w:val="24"/>
          <w:u w:val="single"/>
        </w:rPr>
      </w:pPr>
      <w:r>
        <w:rPr>
          <w:rFonts w:hint="eastAsia" w:hAnsi="宋体" w:cs="宋体"/>
          <w:sz w:val="24"/>
          <w:szCs w:val="24"/>
          <w:lang w:val="zh-CN"/>
        </w:rPr>
        <w:t>投标人名称</w:t>
      </w:r>
      <w:r>
        <w:rPr>
          <w:rFonts w:hint="eastAsia" w:hAnsi="宋体" w:cs="宋体"/>
          <w:spacing w:val="-3"/>
          <w:sz w:val="24"/>
          <w:szCs w:val="24"/>
        </w:rPr>
        <w:t>(加盖公章)</w:t>
      </w:r>
      <w:r>
        <w:rPr>
          <w:rFonts w:hint="eastAsia" w:hAnsi="宋体" w:cs="宋体"/>
          <w:sz w:val="24"/>
          <w:szCs w:val="24"/>
          <w:lang w:val="zh-CN"/>
        </w:rPr>
        <w:t>：</w:t>
      </w:r>
      <w:r>
        <w:rPr>
          <w:rFonts w:hint="eastAsia" w:hAnsi="宋体" w:cs="宋体"/>
          <w:sz w:val="24"/>
          <w:szCs w:val="24"/>
          <w:u w:val="single"/>
          <w:lang w:val="zh-CN"/>
        </w:rPr>
        <w:t xml:space="preserve">     </w:t>
      </w:r>
      <w:r>
        <w:rPr>
          <w:rFonts w:hint="eastAsia" w:hAnsi="宋体" w:cs="宋体"/>
          <w:sz w:val="24"/>
          <w:szCs w:val="24"/>
          <w:u w:val="single"/>
        </w:rPr>
        <w:t xml:space="preserve">              </w:t>
      </w:r>
    </w:p>
    <w:p w14:paraId="4B57E34B">
      <w:pPr>
        <w:pStyle w:val="10"/>
        <w:spacing w:line="480" w:lineRule="auto"/>
        <w:rPr>
          <w:rFonts w:hint="eastAsia" w:hAnsi="宋体" w:cs="宋体"/>
          <w:sz w:val="24"/>
          <w:szCs w:val="24"/>
          <w:u w:val="single"/>
        </w:rPr>
      </w:pPr>
      <w:r>
        <w:rPr>
          <w:rFonts w:hint="eastAsia" w:hAnsi="宋体" w:cs="宋体"/>
          <w:sz w:val="24"/>
          <w:szCs w:val="24"/>
          <w:lang w:val="zh-CN"/>
        </w:rPr>
        <w:t>法定代表人或授权代理人（盖章或签字）：</w:t>
      </w:r>
    </w:p>
    <w:p w14:paraId="05B795F5">
      <w:pPr>
        <w:pStyle w:val="10"/>
        <w:spacing w:line="480" w:lineRule="auto"/>
        <w:rPr>
          <w:rFonts w:hint="eastAsia" w:hAnsi="宋体" w:cs="宋体"/>
          <w:sz w:val="24"/>
          <w:szCs w:val="24"/>
        </w:rPr>
      </w:pPr>
      <w:r>
        <w:rPr>
          <w:rFonts w:hint="eastAsia" w:hAnsi="宋体" w:cs="宋体"/>
          <w:sz w:val="24"/>
          <w:szCs w:val="24"/>
          <w:lang w:val="zh-CN"/>
        </w:rPr>
        <w:t>日 期：</w:t>
      </w:r>
      <w:r>
        <w:rPr>
          <w:rFonts w:hint="eastAsia" w:hAnsi="宋体" w:cs="宋体"/>
          <w:sz w:val="24"/>
          <w:szCs w:val="24"/>
          <w:u w:val="single"/>
        </w:rPr>
        <w:t xml:space="preserve">                                </w:t>
      </w:r>
    </w:p>
    <w:p w14:paraId="6F008615">
      <w:pPr>
        <w:autoSpaceDE w:val="0"/>
        <w:autoSpaceDN w:val="0"/>
        <w:adjustRightInd w:val="0"/>
        <w:spacing w:line="360" w:lineRule="auto"/>
        <w:jc w:val="center"/>
        <w:rPr>
          <w:rFonts w:hint="eastAsia" w:ascii="宋体" w:hAnsi="宋体" w:cs="宋体"/>
          <w:b/>
          <w:bCs/>
          <w:color w:val="000000"/>
          <w:sz w:val="28"/>
          <w:szCs w:val="28"/>
        </w:rPr>
      </w:pPr>
    </w:p>
    <w:p w14:paraId="0224C8AC">
      <w:pPr>
        <w:autoSpaceDE w:val="0"/>
        <w:autoSpaceDN w:val="0"/>
        <w:adjustRightInd w:val="0"/>
        <w:spacing w:line="360" w:lineRule="auto"/>
        <w:jc w:val="center"/>
        <w:rPr>
          <w:rFonts w:hint="eastAsia" w:ascii="宋体" w:hAnsi="宋体" w:cs="宋体"/>
          <w:b/>
          <w:bCs/>
          <w:color w:val="000000"/>
          <w:sz w:val="28"/>
          <w:szCs w:val="28"/>
        </w:rPr>
      </w:pPr>
    </w:p>
    <w:p w14:paraId="58331778">
      <w:pPr>
        <w:autoSpaceDE w:val="0"/>
        <w:autoSpaceDN w:val="0"/>
        <w:adjustRightInd w:val="0"/>
        <w:spacing w:line="360" w:lineRule="auto"/>
        <w:jc w:val="center"/>
        <w:rPr>
          <w:rFonts w:hint="eastAsia" w:ascii="宋体" w:hAnsi="宋体" w:cs="宋体"/>
          <w:b/>
          <w:bCs/>
          <w:color w:val="000000"/>
          <w:sz w:val="28"/>
          <w:szCs w:val="28"/>
        </w:rPr>
      </w:pPr>
    </w:p>
    <w:p w14:paraId="3B183E26">
      <w:pPr>
        <w:autoSpaceDE w:val="0"/>
        <w:autoSpaceDN w:val="0"/>
        <w:adjustRightInd w:val="0"/>
        <w:spacing w:line="360" w:lineRule="auto"/>
        <w:jc w:val="center"/>
        <w:rPr>
          <w:rFonts w:hint="eastAsia" w:ascii="宋体" w:hAnsi="宋体" w:cs="宋体"/>
          <w:b/>
          <w:bCs/>
          <w:color w:val="000000"/>
          <w:sz w:val="28"/>
          <w:szCs w:val="28"/>
        </w:rPr>
      </w:pPr>
    </w:p>
    <w:p w14:paraId="2C150355">
      <w:pPr>
        <w:autoSpaceDE w:val="0"/>
        <w:autoSpaceDN w:val="0"/>
        <w:adjustRightInd w:val="0"/>
        <w:spacing w:line="360" w:lineRule="auto"/>
        <w:jc w:val="center"/>
        <w:rPr>
          <w:rFonts w:hint="eastAsia" w:ascii="宋体" w:hAnsi="宋体" w:cs="宋体"/>
          <w:b/>
          <w:bCs/>
          <w:color w:val="000000"/>
          <w:sz w:val="28"/>
          <w:szCs w:val="28"/>
        </w:rPr>
      </w:pPr>
    </w:p>
    <w:p w14:paraId="3D2DB151">
      <w:pPr>
        <w:autoSpaceDE w:val="0"/>
        <w:autoSpaceDN w:val="0"/>
        <w:adjustRightInd w:val="0"/>
        <w:spacing w:line="360" w:lineRule="auto"/>
        <w:jc w:val="center"/>
        <w:rPr>
          <w:rFonts w:hint="eastAsia" w:ascii="宋体" w:hAnsi="宋体" w:cs="宋体"/>
          <w:b/>
          <w:bCs/>
          <w:color w:val="000000"/>
          <w:sz w:val="28"/>
          <w:szCs w:val="28"/>
        </w:rPr>
      </w:pPr>
    </w:p>
    <w:p w14:paraId="1CF8374F">
      <w:pPr>
        <w:autoSpaceDE w:val="0"/>
        <w:autoSpaceDN w:val="0"/>
        <w:adjustRightInd w:val="0"/>
        <w:jc w:val="center"/>
        <w:rPr>
          <w:rFonts w:hint="eastAsia" w:ascii="宋体" w:hAnsi="宋体" w:cs="宋体"/>
          <w:b/>
          <w:bCs/>
          <w:color w:val="000000"/>
          <w:szCs w:val="21"/>
          <w:lang w:val="zh-CN"/>
        </w:rPr>
      </w:pPr>
      <w:r>
        <w:rPr>
          <w:rFonts w:ascii="宋体" w:hAnsi="宋体" w:cs="宋体"/>
          <w:color w:val="000000"/>
          <w:szCs w:val="21"/>
          <w:u w:val="single"/>
        </w:rPr>
        <w:br w:type="page"/>
      </w:r>
    </w:p>
    <w:p w14:paraId="796EA517">
      <w:pPr>
        <w:autoSpaceDE w:val="0"/>
        <w:autoSpaceDN w:val="0"/>
        <w:adjustRightInd w:val="0"/>
        <w:rPr>
          <w:rFonts w:hint="eastAsia" w:ascii="宋体" w:hAnsi="宋体" w:cs="宋体"/>
          <w:bCs/>
          <w:color w:val="000000"/>
          <w:szCs w:val="21"/>
          <w:lang w:val="zh-CN"/>
        </w:rPr>
        <w:sectPr>
          <w:headerReference r:id="rId18" w:type="default"/>
          <w:footerReference r:id="rId19" w:type="default"/>
          <w:pgSz w:w="11906" w:h="16838"/>
          <w:pgMar w:top="1440" w:right="1080" w:bottom="1440" w:left="1080" w:header="851" w:footer="737" w:gutter="0"/>
          <w:cols w:space="720" w:num="1"/>
          <w:titlePg/>
          <w:docGrid w:linePitch="490" w:charSpace="0"/>
        </w:sectPr>
      </w:pPr>
    </w:p>
    <w:p w14:paraId="24C069EE">
      <w:pPr>
        <w:jc w:val="center"/>
        <w:rPr>
          <w:rFonts w:hint="eastAsia" w:ascii="宋体" w:hAnsi="宋体" w:cs="宋体"/>
          <w:b/>
          <w:bCs/>
          <w:color w:val="000000"/>
          <w:sz w:val="28"/>
          <w:szCs w:val="28"/>
          <w:lang w:val="zh-CN"/>
        </w:rPr>
      </w:pPr>
      <w:bookmarkStart w:id="42" w:name="_Toc232950476"/>
      <w:r>
        <w:rPr>
          <w:rFonts w:hint="eastAsia" w:ascii="宋体" w:hAnsi="宋体" w:cs="宋体"/>
          <w:b/>
          <w:bCs/>
          <w:color w:val="000000"/>
          <w:sz w:val="28"/>
          <w:szCs w:val="28"/>
        </w:rPr>
        <w:t>九、</w:t>
      </w:r>
      <w:r>
        <w:rPr>
          <w:rFonts w:hint="eastAsia" w:ascii="宋体" w:hAnsi="宋体" w:cs="宋体"/>
          <w:b/>
          <w:bCs/>
          <w:color w:val="000000"/>
          <w:sz w:val="28"/>
          <w:szCs w:val="28"/>
          <w:lang w:val="zh-CN"/>
        </w:rPr>
        <w:t>招标文件要求或投标人认为有必要提交的其他</w:t>
      </w:r>
      <w:r>
        <w:rPr>
          <w:rFonts w:hint="eastAsia" w:ascii="宋体" w:hAnsi="宋体" w:cs="宋体"/>
          <w:b/>
          <w:bCs/>
          <w:color w:val="000000"/>
          <w:sz w:val="28"/>
          <w:szCs w:val="28"/>
        </w:rPr>
        <w:t>证明</w:t>
      </w:r>
      <w:r>
        <w:rPr>
          <w:rFonts w:hint="eastAsia" w:ascii="宋体" w:hAnsi="宋体" w:cs="宋体"/>
          <w:b/>
          <w:bCs/>
          <w:color w:val="000000"/>
          <w:sz w:val="28"/>
          <w:szCs w:val="28"/>
          <w:lang w:val="zh-CN"/>
        </w:rPr>
        <w:t>文件材料</w:t>
      </w:r>
    </w:p>
    <w:p w14:paraId="04AC8BA2">
      <w:pPr>
        <w:jc w:val="center"/>
        <w:rPr>
          <w:rFonts w:hint="eastAsia" w:ascii="宋体" w:hAnsi="宋体" w:cs="宋体"/>
          <w:bCs/>
          <w:color w:val="000000"/>
          <w:sz w:val="24"/>
          <w:szCs w:val="24"/>
          <w:lang w:val="zh-CN"/>
        </w:rPr>
      </w:pPr>
      <w:r>
        <w:rPr>
          <w:rFonts w:hint="eastAsia" w:ascii="宋体" w:hAnsi="宋体" w:cs="宋体"/>
          <w:b/>
          <w:bCs/>
          <w:color w:val="000000"/>
          <w:sz w:val="24"/>
          <w:szCs w:val="24"/>
          <w:lang w:val="zh-CN"/>
        </w:rPr>
        <w:t>（格式自拟）</w:t>
      </w:r>
    </w:p>
    <w:p w14:paraId="6A7573DB">
      <w:pPr>
        <w:jc w:val="center"/>
        <w:rPr>
          <w:rFonts w:hint="eastAsia" w:ascii="宋体" w:hAnsi="宋体" w:cs="宋体"/>
          <w:b/>
          <w:color w:val="000000"/>
          <w:sz w:val="28"/>
          <w:szCs w:val="28"/>
        </w:rPr>
      </w:pPr>
    </w:p>
    <w:p w14:paraId="36EA86A1">
      <w:pPr>
        <w:jc w:val="center"/>
        <w:rPr>
          <w:rFonts w:hint="eastAsia" w:ascii="宋体" w:hAnsi="宋体" w:cs="宋体"/>
          <w:b/>
          <w:color w:val="000000"/>
          <w:sz w:val="28"/>
          <w:szCs w:val="28"/>
        </w:rPr>
      </w:pPr>
    </w:p>
    <w:p w14:paraId="5E3BA1CF">
      <w:pPr>
        <w:pStyle w:val="3"/>
        <w:rPr>
          <w:rFonts w:hint="eastAsia" w:ascii="宋体" w:hAnsi="宋体" w:cs="宋体"/>
          <w:color w:val="000000"/>
          <w:sz w:val="28"/>
          <w:szCs w:val="28"/>
        </w:rPr>
      </w:pPr>
    </w:p>
    <w:p w14:paraId="30BB5B71">
      <w:pPr>
        <w:rPr>
          <w:rFonts w:hint="eastAsia" w:ascii="宋体" w:hAnsi="宋体" w:cs="宋体"/>
          <w:b/>
          <w:color w:val="000000"/>
          <w:sz w:val="28"/>
          <w:szCs w:val="28"/>
        </w:rPr>
      </w:pPr>
    </w:p>
    <w:p w14:paraId="1EAFBE57">
      <w:pPr>
        <w:pStyle w:val="3"/>
        <w:rPr>
          <w:rFonts w:hint="eastAsia" w:ascii="宋体" w:hAnsi="宋体" w:cs="宋体"/>
          <w:color w:val="000000"/>
          <w:sz w:val="28"/>
          <w:szCs w:val="28"/>
        </w:rPr>
      </w:pPr>
    </w:p>
    <w:p w14:paraId="5725E399">
      <w:pPr>
        <w:rPr>
          <w:rFonts w:hint="eastAsia" w:ascii="宋体" w:hAnsi="宋体" w:cs="宋体"/>
          <w:b/>
          <w:color w:val="000000"/>
          <w:sz w:val="28"/>
          <w:szCs w:val="28"/>
        </w:rPr>
      </w:pPr>
    </w:p>
    <w:p w14:paraId="6399562C">
      <w:pPr>
        <w:pStyle w:val="3"/>
        <w:rPr>
          <w:rFonts w:hint="eastAsia" w:ascii="宋体" w:hAnsi="宋体" w:cs="宋体"/>
          <w:color w:val="000000"/>
          <w:sz w:val="28"/>
          <w:szCs w:val="28"/>
        </w:rPr>
      </w:pPr>
    </w:p>
    <w:p w14:paraId="0C8BBDEA">
      <w:pPr>
        <w:rPr>
          <w:rFonts w:hint="eastAsia" w:ascii="宋体" w:hAnsi="宋体" w:cs="宋体"/>
          <w:b/>
          <w:color w:val="000000"/>
          <w:sz w:val="28"/>
          <w:szCs w:val="28"/>
        </w:rPr>
      </w:pPr>
    </w:p>
    <w:p w14:paraId="68016B02">
      <w:pPr>
        <w:pStyle w:val="3"/>
        <w:rPr>
          <w:rFonts w:hint="eastAsia" w:ascii="宋体" w:hAnsi="宋体" w:cs="宋体"/>
          <w:color w:val="000000"/>
          <w:sz w:val="28"/>
          <w:szCs w:val="28"/>
        </w:rPr>
      </w:pPr>
    </w:p>
    <w:p w14:paraId="197323FD">
      <w:pPr>
        <w:rPr>
          <w:rFonts w:hint="eastAsia" w:ascii="宋体" w:hAnsi="宋体" w:cs="宋体"/>
          <w:b/>
          <w:color w:val="000000"/>
          <w:sz w:val="28"/>
          <w:szCs w:val="28"/>
        </w:rPr>
      </w:pPr>
    </w:p>
    <w:p w14:paraId="713868D7">
      <w:pPr>
        <w:pStyle w:val="3"/>
        <w:rPr>
          <w:rFonts w:hint="eastAsia" w:ascii="宋体" w:hAnsi="宋体" w:cs="宋体"/>
          <w:color w:val="000000"/>
          <w:sz w:val="28"/>
          <w:szCs w:val="28"/>
        </w:rPr>
      </w:pPr>
    </w:p>
    <w:p w14:paraId="1C1AE855">
      <w:pPr>
        <w:rPr>
          <w:rFonts w:hint="eastAsia" w:ascii="宋体" w:hAnsi="宋体" w:cs="宋体"/>
          <w:b/>
          <w:color w:val="000000"/>
          <w:sz w:val="28"/>
          <w:szCs w:val="28"/>
        </w:rPr>
      </w:pPr>
    </w:p>
    <w:p w14:paraId="4F4FD1D4">
      <w:pPr>
        <w:pStyle w:val="3"/>
        <w:rPr>
          <w:rFonts w:hint="eastAsia" w:ascii="宋体" w:hAnsi="宋体" w:cs="宋体"/>
          <w:color w:val="000000"/>
          <w:sz w:val="28"/>
          <w:szCs w:val="28"/>
        </w:rPr>
      </w:pPr>
    </w:p>
    <w:p w14:paraId="4431A0C2">
      <w:pPr>
        <w:rPr>
          <w:rFonts w:hint="eastAsia" w:ascii="宋体" w:hAnsi="宋体" w:cs="宋体"/>
          <w:b/>
          <w:color w:val="000000"/>
          <w:sz w:val="28"/>
          <w:szCs w:val="28"/>
        </w:rPr>
      </w:pPr>
    </w:p>
    <w:p w14:paraId="3EF11E26">
      <w:pPr>
        <w:pStyle w:val="3"/>
        <w:rPr>
          <w:rFonts w:hint="eastAsia" w:ascii="宋体" w:hAnsi="宋体" w:cs="宋体"/>
          <w:color w:val="000000"/>
          <w:sz w:val="28"/>
          <w:szCs w:val="28"/>
        </w:rPr>
      </w:pPr>
    </w:p>
    <w:p w14:paraId="431E7251">
      <w:pPr>
        <w:rPr>
          <w:rFonts w:hint="eastAsia" w:ascii="宋体" w:hAnsi="宋体" w:cs="宋体"/>
          <w:b/>
          <w:color w:val="000000"/>
          <w:sz w:val="28"/>
          <w:szCs w:val="28"/>
        </w:rPr>
      </w:pPr>
    </w:p>
    <w:p w14:paraId="02147774"/>
    <w:p w14:paraId="66375170">
      <w:pPr>
        <w:pStyle w:val="3"/>
      </w:pPr>
    </w:p>
    <w:p w14:paraId="733C2DA6">
      <w:pPr>
        <w:jc w:val="center"/>
        <w:rPr>
          <w:rFonts w:hint="eastAsia" w:ascii="宋体" w:hAnsi="宋体" w:cs="宋体"/>
          <w:b/>
          <w:color w:val="000000"/>
          <w:sz w:val="28"/>
          <w:szCs w:val="28"/>
        </w:rPr>
      </w:pPr>
    </w:p>
    <w:bookmarkEnd w:id="42"/>
    <w:p w14:paraId="66B022BA">
      <w:pPr>
        <w:rPr>
          <w:rFonts w:hint="eastAsia" w:ascii="宋体" w:hAnsi="宋体" w:cs="宋体"/>
          <w:b/>
          <w:color w:val="000000"/>
          <w:szCs w:val="21"/>
        </w:rPr>
      </w:pPr>
      <w:r>
        <w:rPr>
          <w:rFonts w:hint="eastAsia" w:ascii="宋体" w:hAnsi="宋体" w:cs="宋体"/>
          <w:b/>
          <w:color w:val="000000"/>
          <w:szCs w:val="21"/>
        </w:rPr>
        <w:t xml:space="preserve">   </w:t>
      </w:r>
      <w:bookmarkStart w:id="43" w:name="_附件6__"/>
      <w:bookmarkEnd w:id="43"/>
    </w:p>
    <w:p w14:paraId="0E31294B">
      <w:pPr>
        <w:widowControl/>
        <w:jc w:val="center"/>
      </w:pPr>
      <w:r>
        <w:rPr>
          <w:rFonts w:hint="eastAsia" w:ascii="宋体" w:hAnsi="宋体" w:cs="宋体"/>
          <w:b/>
          <w:bCs/>
          <w:color w:val="000000"/>
          <w:sz w:val="28"/>
          <w:szCs w:val="28"/>
        </w:rPr>
        <w:t>十、</w:t>
      </w:r>
      <w:r>
        <w:rPr>
          <w:rFonts w:hint="eastAsia" w:ascii="宋体" w:hAnsi="宋体" w:cs="宋体"/>
          <w:b/>
          <w:bCs/>
          <w:color w:val="000000"/>
          <w:kern w:val="0"/>
          <w:sz w:val="28"/>
          <w:szCs w:val="28"/>
          <w:lang w:bidi="ar"/>
        </w:rPr>
        <w:t>技术方案</w:t>
      </w:r>
    </w:p>
    <w:p w14:paraId="0F09CF0E">
      <w:pPr>
        <w:rPr>
          <w:rFonts w:hint="eastAsia" w:ascii="宋体" w:hAnsi="宋体" w:cs="宋体"/>
          <w:b/>
          <w:bCs/>
          <w:color w:val="000000"/>
          <w:sz w:val="28"/>
          <w:szCs w:val="28"/>
        </w:rPr>
      </w:pPr>
      <w:r>
        <w:rPr>
          <w:rFonts w:hint="eastAsia" w:ascii="宋体" w:hAnsi="宋体" w:cs="宋体"/>
          <w:b/>
          <w:bCs/>
          <w:color w:val="000000"/>
          <w:sz w:val="28"/>
          <w:szCs w:val="28"/>
        </w:rPr>
        <w:t xml:space="preserve">说明： </w:t>
      </w:r>
    </w:p>
    <w:p w14:paraId="06591765">
      <w:pPr>
        <w:jc w:val="center"/>
        <w:rPr>
          <w:rFonts w:hint="eastAsia" w:ascii="宋体" w:hAnsi="宋体" w:cs="宋体"/>
          <w:b/>
          <w:bCs/>
          <w:color w:val="000000"/>
          <w:sz w:val="28"/>
          <w:szCs w:val="28"/>
        </w:rPr>
      </w:pPr>
      <w:r>
        <w:rPr>
          <w:rFonts w:hint="eastAsia" w:ascii="宋体" w:hAnsi="宋体" w:cs="宋体"/>
          <w:b/>
          <w:bCs/>
          <w:color w:val="000000"/>
          <w:sz w:val="28"/>
          <w:szCs w:val="28"/>
        </w:rPr>
        <w:t>根据第三章评标标准和方法自行拟定。</w:t>
      </w:r>
    </w:p>
    <w:p w14:paraId="22E31FDC">
      <w:pPr>
        <w:jc w:val="center"/>
        <w:rPr>
          <w:rFonts w:hint="eastAsia" w:ascii="宋体" w:hAnsi="宋体" w:cs="宋体"/>
          <w:b/>
          <w:bCs/>
          <w:color w:val="000000"/>
          <w:sz w:val="28"/>
          <w:szCs w:val="28"/>
        </w:rPr>
      </w:pPr>
    </w:p>
    <w:p w14:paraId="7E4A0E2A">
      <w:pPr>
        <w:jc w:val="center"/>
        <w:rPr>
          <w:rFonts w:hint="eastAsia" w:ascii="宋体" w:hAnsi="宋体" w:cs="宋体"/>
          <w:b/>
          <w:bCs/>
          <w:color w:val="000000"/>
          <w:sz w:val="28"/>
          <w:szCs w:val="28"/>
        </w:rPr>
      </w:pPr>
    </w:p>
    <w:p w14:paraId="7A0E59E4">
      <w:pPr>
        <w:jc w:val="center"/>
        <w:rPr>
          <w:rFonts w:hint="eastAsia" w:ascii="宋体" w:hAnsi="宋体" w:cs="宋体"/>
          <w:b/>
          <w:bCs/>
          <w:color w:val="000000"/>
          <w:sz w:val="28"/>
          <w:szCs w:val="28"/>
        </w:rPr>
      </w:pPr>
    </w:p>
    <w:p w14:paraId="139B6AC1">
      <w:pPr>
        <w:jc w:val="center"/>
        <w:rPr>
          <w:rFonts w:hint="eastAsia" w:ascii="宋体" w:hAnsi="宋体" w:cs="宋体"/>
          <w:b/>
          <w:bCs/>
          <w:color w:val="000000"/>
          <w:sz w:val="28"/>
          <w:szCs w:val="28"/>
        </w:rPr>
      </w:pPr>
    </w:p>
    <w:p w14:paraId="4C5B2962">
      <w:pPr>
        <w:jc w:val="center"/>
        <w:rPr>
          <w:rFonts w:hint="eastAsia" w:ascii="宋体" w:hAnsi="宋体" w:cs="宋体"/>
          <w:b/>
          <w:bCs/>
          <w:color w:val="000000"/>
          <w:sz w:val="28"/>
          <w:szCs w:val="28"/>
        </w:rPr>
      </w:pPr>
    </w:p>
    <w:p w14:paraId="604F6213">
      <w:pPr>
        <w:jc w:val="center"/>
        <w:rPr>
          <w:rFonts w:hint="eastAsia" w:ascii="宋体" w:hAnsi="宋体" w:cs="宋体"/>
          <w:b/>
          <w:bCs/>
          <w:color w:val="000000"/>
          <w:sz w:val="28"/>
          <w:szCs w:val="28"/>
        </w:rPr>
      </w:pPr>
    </w:p>
    <w:p w14:paraId="60726C0F">
      <w:pPr>
        <w:jc w:val="center"/>
        <w:rPr>
          <w:rFonts w:hint="eastAsia" w:ascii="宋体" w:hAnsi="宋体" w:cs="宋体"/>
          <w:b/>
          <w:bCs/>
          <w:color w:val="000000"/>
          <w:sz w:val="28"/>
          <w:szCs w:val="28"/>
        </w:rPr>
      </w:pPr>
    </w:p>
    <w:p w14:paraId="20A870A4">
      <w:pPr>
        <w:jc w:val="center"/>
        <w:rPr>
          <w:rFonts w:hint="eastAsia" w:ascii="宋体" w:hAnsi="宋体" w:cs="宋体"/>
          <w:b/>
          <w:bCs/>
          <w:color w:val="000000"/>
          <w:sz w:val="28"/>
          <w:szCs w:val="28"/>
        </w:rPr>
      </w:pPr>
    </w:p>
    <w:p w14:paraId="78F5FA59">
      <w:pPr>
        <w:jc w:val="center"/>
        <w:rPr>
          <w:rFonts w:hint="eastAsia" w:ascii="宋体" w:hAnsi="宋体" w:cs="宋体"/>
          <w:b/>
          <w:bCs/>
          <w:color w:val="000000"/>
          <w:sz w:val="28"/>
          <w:szCs w:val="28"/>
        </w:rPr>
      </w:pPr>
    </w:p>
    <w:p w14:paraId="0F922012">
      <w:pPr>
        <w:jc w:val="center"/>
        <w:rPr>
          <w:rFonts w:hint="eastAsia" w:ascii="宋体" w:hAnsi="宋体" w:cs="宋体"/>
          <w:b/>
          <w:bCs/>
          <w:color w:val="000000"/>
          <w:sz w:val="28"/>
          <w:szCs w:val="28"/>
        </w:rPr>
      </w:pPr>
    </w:p>
    <w:p w14:paraId="73E51034">
      <w:pPr>
        <w:jc w:val="center"/>
        <w:rPr>
          <w:rFonts w:hint="eastAsia" w:ascii="宋体" w:hAnsi="宋体" w:cs="宋体"/>
          <w:b/>
          <w:bCs/>
          <w:color w:val="000000"/>
          <w:sz w:val="28"/>
          <w:szCs w:val="28"/>
        </w:rPr>
      </w:pPr>
    </w:p>
    <w:p w14:paraId="35AB878A">
      <w:pPr>
        <w:jc w:val="center"/>
        <w:rPr>
          <w:rFonts w:hint="eastAsia" w:ascii="宋体" w:hAnsi="宋体" w:cs="宋体"/>
          <w:b/>
          <w:bCs/>
          <w:color w:val="000000"/>
          <w:sz w:val="28"/>
          <w:szCs w:val="28"/>
        </w:rPr>
      </w:pPr>
    </w:p>
    <w:p w14:paraId="107B7B4C">
      <w:pPr>
        <w:jc w:val="center"/>
        <w:rPr>
          <w:rFonts w:hint="eastAsia" w:ascii="宋体" w:hAnsi="宋体" w:cs="宋体"/>
          <w:b/>
          <w:bCs/>
          <w:color w:val="000000"/>
          <w:sz w:val="28"/>
          <w:szCs w:val="28"/>
        </w:rPr>
      </w:pPr>
    </w:p>
    <w:p w14:paraId="6C35D4FE">
      <w:pPr>
        <w:jc w:val="center"/>
        <w:rPr>
          <w:rFonts w:hint="eastAsia" w:ascii="宋体" w:hAnsi="宋体" w:cs="宋体"/>
          <w:b/>
          <w:bCs/>
          <w:color w:val="000000"/>
          <w:sz w:val="28"/>
          <w:szCs w:val="28"/>
        </w:rPr>
      </w:pPr>
    </w:p>
    <w:p w14:paraId="683911ED">
      <w:pPr>
        <w:jc w:val="center"/>
        <w:rPr>
          <w:rFonts w:hint="eastAsia" w:ascii="宋体" w:hAnsi="宋体" w:cs="宋体"/>
          <w:b/>
          <w:bCs/>
          <w:color w:val="000000"/>
          <w:sz w:val="28"/>
          <w:szCs w:val="28"/>
        </w:rPr>
      </w:pPr>
    </w:p>
    <w:p w14:paraId="7071A276">
      <w:pPr>
        <w:jc w:val="center"/>
        <w:rPr>
          <w:rFonts w:hint="eastAsia" w:ascii="宋体" w:hAnsi="宋体" w:cs="宋体"/>
          <w:b/>
          <w:bCs/>
          <w:color w:val="000000"/>
          <w:sz w:val="28"/>
          <w:szCs w:val="28"/>
        </w:rPr>
      </w:pPr>
    </w:p>
    <w:p w14:paraId="52728240">
      <w:pPr>
        <w:jc w:val="center"/>
        <w:rPr>
          <w:rFonts w:hint="eastAsia" w:ascii="宋体" w:hAnsi="宋体" w:cs="宋体"/>
          <w:b/>
          <w:bCs/>
          <w:color w:val="000000"/>
          <w:sz w:val="28"/>
          <w:szCs w:val="28"/>
        </w:rPr>
      </w:pPr>
    </w:p>
    <w:p w14:paraId="0DFBB4FC">
      <w:pPr>
        <w:jc w:val="center"/>
        <w:rPr>
          <w:rFonts w:hint="eastAsia" w:ascii="宋体" w:hAnsi="宋体" w:cs="宋体"/>
          <w:b/>
          <w:bCs/>
          <w:color w:val="000000"/>
          <w:sz w:val="28"/>
          <w:szCs w:val="28"/>
        </w:rPr>
      </w:pPr>
    </w:p>
    <w:p w14:paraId="0C5AD1F6">
      <w:pPr>
        <w:jc w:val="center"/>
        <w:rPr>
          <w:rFonts w:hint="eastAsia" w:ascii="宋体" w:hAnsi="宋体" w:cs="宋体"/>
          <w:b/>
          <w:bCs/>
          <w:color w:val="000000"/>
          <w:sz w:val="28"/>
          <w:szCs w:val="28"/>
        </w:rPr>
      </w:pPr>
    </w:p>
    <w:p w14:paraId="13357681">
      <w:pPr>
        <w:jc w:val="center"/>
        <w:rPr>
          <w:rFonts w:hint="eastAsia" w:ascii="宋体" w:hAnsi="宋体" w:cs="宋体"/>
          <w:b/>
          <w:bCs/>
          <w:color w:val="000000"/>
          <w:sz w:val="28"/>
          <w:szCs w:val="28"/>
        </w:rPr>
      </w:pPr>
    </w:p>
    <w:p w14:paraId="050FE5D2">
      <w:pPr>
        <w:jc w:val="center"/>
        <w:rPr>
          <w:rFonts w:hint="eastAsia" w:ascii="宋体" w:hAnsi="宋体" w:cs="宋体"/>
          <w:b/>
          <w:bCs/>
          <w:color w:val="000000"/>
          <w:sz w:val="28"/>
          <w:szCs w:val="28"/>
        </w:rPr>
      </w:pPr>
    </w:p>
    <w:p w14:paraId="4DF04A2F">
      <w:pPr>
        <w:jc w:val="center"/>
        <w:rPr>
          <w:rFonts w:hint="eastAsia" w:ascii="宋体" w:hAnsi="宋体" w:cs="宋体"/>
          <w:b/>
          <w:bCs/>
          <w:color w:val="000000"/>
          <w:sz w:val="28"/>
          <w:szCs w:val="28"/>
        </w:rPr>
      </w:pPr>
    </w:p>
    <w:p w14:paraId="165ABCF3">
      <w:pPr>
        <w:jc w:val="center"/>
        <w:rPr>
          <w:rFonts w:hint="eastAsia" w:ascii="宋体" w:hAnsi="宋体" w:cs="宋体"/>
          <w:b/>
          <w:bCs/>
          <w:color w:val="000000"/>
          <w:sz w:val="28"/>
          <w:szCs w:val="28"/>
        </w:rPr>
      </w:pPr>
    </w:p>
    <w:p w14:paraId="320F81E2">
      <w:pPr>
        <w:jc w:val="center"/>
        <w:rPr>
          <w:rFonts w:hint="eastAsia" w:ascii="宋体" w:hAnsi="宋体" w:cs="宋体"/>
          <w:b/>
          <w:bCs/>
          <w:color w:val="000000"/>
          <w:sz w:val="28"/>
          <w:szCs w:val="28"/>
        </w:rPr>
      </w:pPr>
    </w:p>
    <w:p w14:paraId="17F67925">
      <w:pPr>
        <w:jc w:val="center"/>
        <w:rPr>
          <w:rFonts w:hint="eastAsia" w:ascii="宋体" w:hAnsi="宋体" w:cs="宋体"/>
          <w:b/>
          <w:bCs/>
          <w:color w:val="000000"/>
          <w:sz w:val="28"/>
          <w:szCs w:val="28"/>
        </w:rPr>
      </w:pPr>
    </w:p>
    <w:p w14:paraId="65924333">
      <w:pPr>
        <w:jc w:val="center"/>
        <w:rPr>
          <w:rFonts w:hint="eastAsia" w:ascii="宋体" w:hAnsi="宋体" w:cs="宋体"/>
          <w:b/>
          <w:bCs/>
          <w:color w:val="000000"/>
          <w:sz w:val="28"/>
          <w:szCs w:val="28"/>
        </w:rPr>
      </w:pPr>
    </w:p>
    <w:p w14:paraId="3728F5A9">
      <w:pPr>
        <w:jc w:val="center"/>
        <w:rPr>
          <w:rFonts w:hint="eastAsia" w:ascii="宋体" w:hAnsi="宋体" w:cs="宋体"/>
          <w:b/>
          <w:bCs/>
          <w:color w:val="000000"/>
          <w:sz w:val="28"/>
          <w:szCs w:val="28"/>
        </w:rPr>
      </w:pPr>
    </w:p>
    <w:p w14:paraId="39653115">
      <w:pPr>
        <w:jc w:val="center"/>
        <w:rPr>
          <w:rFonts w:hint="eastAsia" w:ascii="宋体" w:hAnsi="宋体" w:cs="宋体"/>
          <w:b/>
          <w:bCs/>
          <w:color w:val="000000"/>
          <w:sz w:val="28"/>
          <w:szCs w:val="28"/>
        </w:rPr>
      </w:pPr>
    </w:p>
    <w:p w14:paraId="7A18C08D">
      <w:pPr>
        <w:jc w:val="center"/>
        <w:rPr>
          <w:rFonts w:hint="eastAsia" w:ascii="宋体" w:hAnsi="宋体" w:cs="宋体"/>
          <w:b/>
          <w:bCs/>
          <w:color w:val="000000"/>
          <w:sz w:val="28"/>
          <w:szCs w:val="28"/>
        </w:rPr>
      </w:pPr>
    </w:p>
    <w:p w14:paraId="229FDDD5">
      <w:pPr>
        <w:jc w:val="center"/>
        <w:rPr>
          <w:rFonts w:hint="eastAsia" w:ascii="宋体" w:hAnsi="宋体" w:cs="宋体"/>
          <w:b/>
          <w:bCs/>
          <w:color w:val="000000"/>
          <w:sz w:val="28"/>
          <w:szCs w:val="28"/>
        </w:rPr>
      </w:pPr>
    </w:p>
    <w:p w14:paraId="6A0DEA8D">
      <w:pPr>
        <w:jc w:val="center"/>
        <w:rPr>
          <w:rFonts w:hint="eastAsia" w:ascii="宋体" w:hAnsi="宋体" w:cs="宋体"/>
          <w:b/>
          <w:bCs/>
          <w:color w:val="000000"/>
          <w:sz w:val="28"/>
          <w:szCs w:val="28"/>
        </w:rPr>
      </w:pPr>
    </w:p>
    <w:p w14:paraId="32EC0993">
      <w:pPr>
        <w:jc w:val="center"/>
        <w:rPr>
          <w:rFonts w:hint="eastAsia" w:ascii="宋体" w:hAnsi="宋体" w:cs="宋体"/>
          <w:b/>
          <w:bCs/>
          <w:color w:val="000000"/>
          <w:sz w:val="28"/>
          <w:szCs w:val="28"/>
        </w:rPr>
      </w:pPr>
    </w:p>
    <w:p w14:paraId="24382AE4">
      <w:pPr>
        <w:jc w:val="center"/>
        <w:rPr>
          <w:rFonts w:hint="eastAsia" w:ascii="宋体" w:hAnsi="宋体" w:cs="宋体"/>
          <w:b/>
          <w:bCs/>
          <w:color w:val="000000"/>
          <w:sz w:val="28"/>
          <w:szCs w:val="28"/>
        </w:rPr>
      </w:pPr>
    </w:p>
    <w:p w14:paraId="19D2222E">
      <w:pPr>
        <w:jc w:val="center"/>
        <w:rPr>
          <w:rFonts w:hint="eastAsia" w:ascii="宋体" w:hAnsi="宋体" w:cs="宋体"/>
          <w:b/>
          <w:bCs/>
          <w:color w:val="000000"/>
          <w:sz w:val="28"/>
          <w:szCs w:val="28"/>
        </w:rPr>
      </w:pPr>
    </w:p>
    <w:p w14:paraId="2D75FEC7">
      <w:pPr>
        <w:jc w:val="center"/>
        <w:rPr>
          <w:rFonts w:hint="eastAsia" w:ascii="宋体" w:hAnsi="宋体" w:cs="宋体"/>
          <w:b/>
          <w:bCs/>
          <w:color w:val="000000"/>
          <w:sz w:val="28"/>
          <w:szCs w:val="28"/>
          <w:lang w:val="zh-CN"/>
        </w:rPr>
      </w:pPr>
      <w:r>
        <w:rPr>
          <w:rFonts w:hint="eastAsia" w:ascii="宋体" w:hAnsi="宋体" w:cs="宋体"/>
          <w:b/>
          <w:bCs/>
          <w:color w:val="000000"/>
          <w:sz w:val="28"/>
          <w:szCs w:val="28"/>
        </w:rPr>
        <w:t>十一、</w:t>
      </w:r>
      <w:r>
        <w:rPr>
          <w:rFonts w:hint="eastAsia" w:ascii="宋体" w:hAnsi="宋体" w:cs="宋体"/>
          <w:b/>
          <w:bCs/>
          <w:color w:val="000000"/>
          <w:sz w:val="28"/>
          <w:szCs w:val="28"/>
          <w:lang w:val="zh-CN"/>
        </w:rPr>
        <w:t>其他技术措施</w:t>
      </w:r>
    </w:p>
    <w:p w14:paraId="22BBD762">
      <w:pPr>
        <w:jc w:val="center"/>
        <w:rPr>
          <w:rFonts w:hint="eastAsia" w:ascii="宋体" w:hAnsi="宋体" w:cs="宋体"/>
          <w:b/>
          <w:bCs/>
          <w:color w:val="000000"/>
          <w:sz w:val="24"/>
          <w:szCs w:val="24"/>
          <w:lang w:val="zh-CN"/>
        </w:rPr>
      </w:pPr>
      <w:r>
        <w:rPr>
          <w:rFonts w:hint="eastAsia" w:ascii="宋体" w:hAnsi="宋体" w:cs="宋体"/>
          <w:b/>
          <w:bCs/>
          <w:color w:val="000000"/>
          <w:sz w:val="24"/>
          <w:szCs w:val="24"/>
          <w:lang w:val="zh-CN"/>
        </w:rPr>
        <w:t>（格式自拟）</w:t>
      </w:r>
    </w:p>
    <w:p w14:paraId="1B42A232">
      <w:pPr>
        <w:jc w:val="center"/>
        <w:rPr>
          <w:rFonts w:hint="eastAsia" w:ascii="宋体" w:hAnsi="宋体" w:cs="宋体"/>
          <w:b/>
          <w:bCs/>
          <w:color w:val="000000"/>
          <w:szCs w:val="21"/>
          <w:lang w:val="zh-CN"/>
        </w:rPr>
      </w:pPr>
    </w:p>
    <w:p w14:paraId="6655189A">
      <w:pPr>
        <w:rPr>
          <w:rFonts w:hint="eastAsia" w:ascii="宋体" w:hAnsi="宋体" w:cs="宋体"/>
          <w:b/>
          <w:bCs/>
          <w:color w:val="000000"/>
          <w:szCs w:val="21"/>
          <w:lang w:val="zh-CN"/>
        </w:rPr>
      </w:pPr>
      <w:r>
        <w:rPr>
          <w:rFonts w:hint="eastAsia" w:ascii="宋体" w:hAnsi="宋体" w:cs="宋体"/>
          <w:b/>
          <w:bCs/>
          <w:color w:val="000000"/>
          <w:szCs w:val="21"/>
          <w:lang w:val="zh-CN"/>
        </w:rPr>
        <w:br w:type="page"/>
      </w:r>
    </w:p>
    <w:p w14:paraId="699DADE0">
      <w:pPr>
        <w:jc w:val="center"/>
        <w:rPr>
          <w:b/>
          <w:sz w:val="32"/>
          <w:szCs w:val="32"/>
          <w:lang w:val="zh-CN"/>
        </w:rPr>
      </w:pPr>
      <w:r>
        <w:rPr>
          <w:rFonts w:hint="eastAsia" w:ascii="宋体" w:hAnsi="宋体" w:cs="宋体"/>
          <w:b/>
          <w:color w:val="000000"/>
          <w:sz w:val="32"/>
          <w:szCs w:val="32"/>
        </w:rPr>
        <w:t xml:space="preserve">    </w:t>
      </w:r>
      <w:bookmarkStart w:id="44" w:name="_Toc15771"/>
      <w:r>
        <w:rPr>
          <w:rStyle w:val="79"/>
          <w:rFonts w:hint="eastAsia"/>
          <w:lang w:val="zh-CN"/>
        </w:rPr>
        <w:t>第</w:t>
      </w:r>
      <w:r>
        <w:rPr>
          <w:rStyle w:val="79"/>
          <w:rFonts w:hint="eastAsia"/>
        </w:rPr>
        <w:t>七</w:t>
      </w:r>
      <w:r>
        <w:rPr>
          <w:rStyle w:val="79"/>
          <w:rFonts w:hint="eastAsia"/>
          <w:lang w:val="zh-CN"/>
        </w:rPr>
        <w:t>章  附件</w:t>
      </w:r>
      <w:bookmarkEnd w:id="44"/>
    </w:p>
    <w:p w14:paraId="612453B9"/>
    <w:p w14:paraId="49ACC8E2">
      <w:r>
        <w:rPr>
          <w:rFonts w:hint="eastAsia"/>
        </w:rPr>
        <w:t xml:space="preserve">  </w:t>
      </w:r>
    </w:p>
    <w:p w14:paraId="04A3566E">
      <w:pPr>
        <w:rPr>
          <w:rFonts w:hint="eastAsia" w:ascii="宋体" w:hAnsi="宋体" w:cs="宋体"/>
          <w:color w:val="FF0000"/>
          <w:szCs w:val="21"/>
        </w:rPr>
      </w:pPr>
      <w:r>
        <w:rPr>
          <w:rFonts w:hint="eastAsia" w:ascii="宋体" w:hAnsi="宋体" w:cs="宋体"/>
          <w:color w:val="FF0000"/>
          <w:szCs w:val="21"/>
          <w:shd w:val="clear" w:color="auto" w:fill="FFFFFF"/>
        </w:rPr>
        <w:t xml:space="preserve">                 </w:t>
      </w:r>
      <w:r>
        <w:rPr>
          <w:rFonts w:hint="eastAsia" w:ascii="宋体" w:hAnsi="宋体" w:cs="宋体"/>
          <w:color w:val="FF0000"/>
          <w:szCs w:val="21"/>
          <w:shd w:val="clear" w:color="auto" w:fill="FFFFFF"/>
        </w:rPr>
        <w:drawing>
          <wp:inline distT="0" distB="0" distL="114300" distR="114300">
            <wp:extent cx="4286250" cy="1905000"/>
            <wp:effectExtent l="0" t="0" r="0" b="0"/>
            <wp:docPr id="1" name="图片 1" descr="IMG_2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IMG_257"/>
                    <pic:cNvPicPr>
                      <a:picLocks noChangeAspect="1"/>
                    </pic:cNvPicPr>
                  </pic:nvPicPr>
                  <pic:blipFill>
                    <a:blip r:embed="rId25"/>
                    <a:stretch>
                      <a:fillRect/>
                    </a:stretch>
                  </pic:blipFill>
                  <pic:spPr>
                    <a:xfrm>
                      <a:off x="0" y="0"/>
                      <a:ext cx="4286250" cy="1905000"/>
                    </a:xfrm>
                    <a:prstGeom prst="rect">
                      <a:avLst/>
                    </a:prstGeom>
                    <a:noFill/>
                    <a:ln>
                      <a:noFill/>
                    </a:ln>
                  </pic:spPr>
                </pic:pic>
              </a:graphicData>
            </a:graphic>
          </wp:inline>
        </w:drawing>
      </w:r>
    </w:p>
    <w:p w14:paraId="093762A7">
      <w:pPr>
        <w:jc w:val="center"/>
      </w:pPr>
    </w:p>
    <w:p w14:paraId="2CD045FC">
      <w:pPr>
        <w:jc w:val="center"/>
      </w:pPr>
    </w:p>
    <w:p w14:paraId="4D19998E">
      <w:pPr>
        <w:jc w:val="center"/>
        <w:rPr>
          <w:sz w:val="24"/>
          <w:szCs w:val="24"/>
        </w:rPr>
      </w:pPr>
      <w:r>
        <w:rPr>
          <w:rFonts w:hint="eastAsia"/>
          <w:sz w:val="24"/>
          <w:szCs w:val="24"/>
        </w:rPr>
        <w:t>工信部联企业〔2011〕300号</w:t>
      </w:r>
    </w:p>
    <w:p w14:paraId="6A24C196">
      <w:pPr>
        <w:jc w:val="center"/>
      </w:pPr>
    </w:p>
    <w:p w14:paraId="1F239201">
      <w:pPr>
        <w:widowControl/>
        <w:pBdr>
          <w:top w:val="single" w:color="FF0000" w:sz="18" w:space="30"/>
        </w:pBdr>
        <w:shd w:val="clear" w:color="auto" w:fill="FFFFFF"/>
        <w:spacing w:before="100" w:beforeAutospacing="1" w:after="100" w:afterAutospacing="1" w:line="420" w:lineRule="atLeast"/>
        <w:ind w:left="150"/>
        <w:jc w:val="center"/>
        <w:rPr>
          <w:rFonts w:hint="eastAsia" w:ascii="宋体" w:hAnsi="宋体" w:cs="宋体"/>
          <w:color w:val="000000"/>
          <w:sz w:val="24"/>
          <w:szCs w:val="24"/>
        </w:rPr>
      </w:pPr>
      <w:r>
        <w:rPr>
          <w:rFonts w:hint="eastAsia" w:ascii="宋体" w:hAnsi="宋体" w:cs="宋体"/>
          <w:color w:val="000000"/>
          <w:kern w:val="0"/>
          <w:sz w:val="24"/>
          <w:szCs w:val="24"/>
          <w:shd w:val="clear" w:color="auto" w:fill="FFFFFF"/>
          <w:lang w:bidi="ar"/>
        </w:rPr>
        <w:t>关于印发中小企业划型标准规定的通知</w:t>
      </w:r>
    </w:p>
    <w:p w14:paraId="32A4E32A">
      <w:pPr>
        <w:pStyle w:val="17"/>
        <w:widowControl/>
        <w:spacing w:before="452" w:after="150" w:line="560" w:lineRule="atLeast"/>
        <w:ind w:left="150"/>
        <w:rPr>
          <w:rFonts w:hint="eastAsia" w:ascii="宋体" w:hAnsi="宋体" w:cs="宋体"/>
          <w:color w:val="000000"/>
          <w:szCs w:val="24"/>
          <w:shd w:val="clear" w:color="auto" w:fill="FFFFFF"/>
        </w:rPr>
      </w:pPr>
      <w:r>
        <w:rPr>
          <w:rFonts w:hint="eastAsia" w:ascii="宋体" w:hAnsi="宋体" w:cs="宋体"/>
          <w:color w:val="000000"/>
          <w:szCs w:val="24"/>
          <w:shd w:val="clear" w:color="auto" w:fill="FFFFFF"/>
        </w:rPr>
        <w:t>各省、自治区、直辖市人民政府，国务院各部委、各直属机构及有关单位：</w:t>
      </w:r>
    </w:p>
    <w:p w14:paraId="7AABA1F0">
      <w:pPr>
        <w:pStyle w:val="17"/>
        <w:widowControl/>
        <w:spacing w:before="452" w:after="150" w:line="560" w:lineRule="atLeast"/>
        <w:ind w:left="150"/>
        <w:rPr>
          <w:rFonts w:hint="eastAsia" w:ascii="宋体" w:hAnsi="宋体" w:cs="宋体"/>
          <w:szCs w:val="24"/>
        </w:rPr>
      </w:pPr>
      <w:r>
        <w:rPr>
          <w:rFonts w:hint="eastAsia" w:ascii="宋体" w:hAnsi="宋体" w:cs="宋体"/>
          <w:color w:val="000000"/>
          <w:szCs w:val="24"/>
          <w:shd w:val="clear" w:color="auto" w:fill="FFFFFF"/>
        </w:rPr>
        <w:t>　　为贯彻落实《中华人民共和国中小企业促进法》和《国务院关于进一步促进中小企业发展的若干意见》（国发〔2009〕36号），工业和信息化部、国家统计局、发展改革委、财政部研究制定了《中小企业划型标准规定》。经国务院同意，现印发给你们，请遵照执行。</w:t>
      </w:r>
    </w:p>
    <w:p w14:paraId="257072AB">
      <w:pPr>
        <w:pStyle w:val="17"/>
        <w:widowControl/>
        <w:spacing w:before="452" w:after="150" w:line="560" w:lineRule="atLeast"/>
        <w:ind w:left="150"/>
        <w:jc w:val="right"/>
        <w:rPr>
          <w:rFonts w:hint="eastAsia" w:ascii="宋体" w:hAnsi="宋体" w:cs="宋体"/>
          <w:color w:val="000000"/>
          <w:szCs w:val="24"/>
          <w:shd w:val="clear" w:color="auto" w:fill="FFFFFF"/>
        </w:rPr>
      </w:pPr>
      <w:r>
        <w:rPr>
          <w:rFonts w:hint="eastAsia" w:ascii="宋体" w:hAnsi="宋体" w:cs="宋体"/>
          <w:color w:val="000000"/>
          <w:szCs w:val="24"/>
          <w:shd w:val="clear" w:color="auto" w:fill="FFFFFF"/>
        </w:rPr>
        <w:t>工业和信息化部</w:t>
      </w:r>
    </w:p>
    <w:p w14:paraId="65EBD4F9">
      <w:pPr>
        <w:pStyle w:val="17"/>
        <w:widowControl/>
        <w:spacing w:before="452" w:after="150" w:line="560" w:lineRule="atLeast"/>
        <w:ind w:left="150"/>
        <w:jc w:val="right"/>
        <w:rPr>
          <w:rFonts w:hint="eastAsia" w:ascii="宋体" w:hAnsi="宋体" w:cs="宋体"/>
          <w:color w:val="000000"/>
          <w:szCs w:val="24"/>
          <w:shd w:val="clear" w:color="auto" w:fill="FFFFFF"/>
        </w:rPr>
      </w:pPr>
      <w:r>
        <w:rPr>
          <w:rFonts w:hint="eastAsia" w:ascii="宋体" w:hAnsi="宋体" w:cs="宋体"/>
          <w:color w:val="000000"/>
          <w:szCs w:val="24"/>
          <w:shd w:val="clear" w:color="auto" w:fill="FFFFFF"/>
        </w:rPr>
        <w:t>国家统计局</w:t>
      </w:r>
    </w:p>
    <w:p w14:paraId="23563FE8">
      <w:pPr>
        <w:pStyle w:val="17"/>
        <w:widowControl/>
        <w:spacing w:before="452" w:after="150" w:line="560" w:lineRule="atLeast"/>
        <w:ind w:left="150"/>
        <w:jc w:val="right"/>
        <w:rPr>
          <w:rFonts w:hint="eastAsia" w:ascii="宋体" w:hAnsi="宋体" w:cs="宋体"/>
          <w:color w:val="000000"/>
          <w:szCs w:val="24"/>
          <w:shd w:val="clear" w:color="auto" w:fill="FFFFFF"/>
        </w:rPr>
      </w:pPr>
      <w:r>
        <w:rPr>
          <w:rFonts w:hint="eastAsia" w:ascii="宋体" w:hAnsi="宋体" w:cs="宋体"/>
          <w:color w:val="000000"/>
          <w:szCs w:val="24"/>
          <w:shd w:val="clear" w:color="auto" w:fill="FFFFFF"/>
        </w:rPr>
        <w:t>国家发展和改革委员会</w:t>
      </w:r>
    </w:p>
    <w:p w14:paraId="3EDE6CE4">
      <w:pPr>
        <w:pStyle w:val="17"/>
        <w:widowControl/>
        <w:spacing w:before="452" w:after="150" w:line="560" w:lineRule="atLeast"/>
        <w:ind w:left="150"/>
        <w:jc w:val="right"/>
        <w:rPr>
          <w:rFonts w:hint="eastAsia" w:ascii="宋体" w:hAnsi="宋体" w:cs="宋体"/>
          <w:color w:val="000000"/>
          <w:szCs w:val="24"/>
          <w:shd w:val="clear" w:color="auto" w:fill="FFFFFF"/>
        </w:rPr>
      </w:pPr>
      <w:r>
        <w:rPr>
          <w:rFonts w:hint="eastAsia" w:ascii="宋体" w:hAnsi="宋体" w:cs="宋体"/>
          <w:color w:val="000000"/>
          <w:szCs w:val="24"/>
          <w:shd w:val="clear" w:color="auto" w:fill="FFFFFF"/>
        </w:rPr>
        <w:t>财政部</w:t>
      </w:r>
    </w:p>
    <w:p w14:paraId="760436D9">
      <w:pPr>
        <w:jc w:val="right"/>
        <w:rPr>
          <w:sz w:val="24"/>
          <w:szCs w:val="24"/>
        </w:rPr>
      </w:pPr>
      <w:r>
        <w:rPr>
          <w:rFonts w:hint="eastAsia"/>
          <w:sz w:val="24"/>
          <w:szCs w:val="24"/>
        </w:rPr>
        <w:t>二○一一年六月十八日</w:t>
      </w:r>
    </w:p>
    <w:p w14:paraId="1AB922BD">
      <w:pPr>
        <w:spacing w:line="480" w:lineRule="auto"/>
        <w:rPr>
          <w:sz w:val="24"/>
          <w:szCs w:val="24"/>
        </w:rPr>
      </w:pPr>
      <w:r>
        <w:rPr>
          <w:rFonts w:hint="eastAsia" w:ascii="宋体" w:hAnsi="宋体" w:cs="宋体"/>
          <w:color w:val="000000"/>
          <w:sz w:val="24"/>
          <w:szCs w:val="24"/>
          <w:shd w:val="clear" w:color="auto" w:fill="FFFFFF"/>
        </w:rPr>
        <w:t>　　</w:t>
      </w:r>
      <w:r>
        <w:rPr>
          <w:rFonts w:hint="eastAsia"/>
          <w:sz w:val="24"/>
          <w:szCs w:val="24"/>
        </w:rPr>
        <w:t>一、根据《中华人民共和国中小企业促进法》和《国务院关于进一步促进中小企业发展的若干意见》(国发〔2009〕36号)，制定本规定。</w:t>
      </w:r>
    </w:p>
    <w:p w14:paraId="4B766289">
      <w:pPr>
        <w:spacing w:line="480" w:lineRule="auto"/>
        <w:rPr>
          <w:sz w:val="24"/>
          <w:szCs w:val="24"/>
        </w:rPr>
      </w:pPr>
      <w:r>
        <w:rPr>
          <w:rFonts w:hint="eastAsia"/>
          <w:sz w:val="24"/>
          <w:szCs w:val="24"/>
        </w:rPr>
        <w:t>　　二、中小企业划分为中型、小型、微型三种类型，具体标准根据企业从业人员、营业收入、资产总额等指标，结合行业特点制定。</w:t>
      </w:r>
    </w:p>
    <w:p w14:paraId="17AEEC40">
      <w:pPr>
        <w:spacing w:line="480" w:lineRule="auto"/>
        <w:rPr>
          <w:sz w:val="24"/>
          <w:szCs w:val="24"/>
        </w:rPr>
      </w:pPr>
      <w:r>
        <w:rPr>
          <w:rFonts w:hint="eastAsia"/>
          <w:sz w:val="24"/>
          <w:szCs w:val="24"/>
        </w:rPr>
        <w:t>　　三、本规定适用的行业包括：农、林、牧、渔业，工业（包括采矿业，制造业，电力、热力、燃气及水生产和供应业），建筑业，批发业，零售业，交通运输业（不含铁路运输业），仓储业，邮政业，住宿业，餐饮业，信息传输业（包括电信、互联网和相关服务），软件和信息技术服务业，房地产开发经营，物业管理，租赁和商务服务业，其他未列明行业（包括科学研究和技术服务业，水利、环境和公共设施管理业，居民服务、修理和其他服务业，社会工作，文化、体育和娱乐业等）。</w:t>
      </w:r>
    </w:p>
    <w:p w14:paraId="2CAA1BDB">
      <w:pPr>
        <w:spacing w:line="480" w:lineRule="auto"/>
        <w:rPr>
          <w:sz w:val="24"/>
          <w:szCs w:val="24"/>
        </w:rPr>
      </w:pPr>
      <w:r>
        <w:rPr>
          <w:rFonts w:hint="eastAsia"/>
          <w:sz w:val="24"/>
          <w:szCs w:val="24"/>
        </w:rPr>
        <w:t>　　四、各行业划型标准为：</w:t>
      </w:r>
    </w:p>
    <w:p w14:paraId="14FB7AC6">
      <w:pPr>
        <w:spacing w:line="480" w:lineRule="auto"/>
        <w:rPr>
          <w:sz w:val="24"/>
          <w:szCs w:val="24"/>
        </w:rPr>
      </w:pPr>
      <w:r>
        <w:rPr>
          <w:rFonts w:hint="eastAsia"/>
          <w:sz w:val="24"/>
          <w:szCs w:val="24"/>
        </w:rPr>
        <w:t>　　（一）农、林、牧、渔业。营业收入20000万元以下的为中小微型企业。其中，营业收入500万元及以上的为中型企业，营业收入50万元及以上的为小型企业，营业收入50万元以下的为微型企业。</w:t>
      </w:r>
    </w:p>
    <w:p w14:paraId="0EA1CC15">
      <w:pPr>
        <w:spacing w:line="480" w:lineRule="auto"/>
        <w:rPr>
          <w:sz w:val="24"/>
          <w:szCs w:val="24"/>
        </w:rPr>
      </w:pPr>
      <w:r>
        <w:rPr>
          <w:rFonts w:hint="eastAsia"/>
          <w:sz w:val="24"/>
          <w:szCs w:val="24"/>
        </w:rPr>
        <w:t>　　（二）工业。从业人员1000人以下或营业收入40000万元以下的为中小微型企业。其中，从业人员300人及以上，且营业收入2000万元及以上的为中型企业；从业人员20人及以上，且营业收入300万元及以上的为小型企业；从业人员20人以下或营业收入300万元以下的为微型企业。</w:t>
      </w:r>
    </w:p>
    <w:p w14:paraId="701F0669">
      <w:pPr>
        <w:spacing w:line="480" w:lineRule="auto"/>
        <w:rPr>
          <w:sz w:val="24"/>
          <w:szCs w:val="24"/>
        </w:rPr>
      </w:pPr>
      <w:r>
        <w:rPr>
          <w:rFonts w:hint="eastAsia"/>
          <w:sz w:val="24"/>
          <w:szCs w:val="24"/>
        </w:rPr>
        <w:t>　　（三）建筑业。营业收入80000万元以下或资产总额80000万元以下的为中小微型企业。其中，营业收入6000万元及以上，且资产总额5000万元及以上的为中型企业；营业收入300万元及以上，且资产总额300万元及以上的为小型企业；营业收入300万元以下或资产总额300万元以下的为微型企业。</w:t>
      </w:r>
    </w:p>
    <w:p w14:paraId="7145E09A">
      <w:pPr>
        <w:spacing w:line="480" w:lineRule="auto"/>
        <w:rPr>
          <w:sz w:val="24"/>
          <w:szCs w:val="24"/>
        </w:rPr>
      </w:pPr>
      <w:r>
        <w:rPr>
          <w:rFonts w:hint="eastAsia"/>
          <w:sz w:val="24"/>
          <w:szCs w:val="24"/>
        </w:rPr>
        <w:t>　　（四）批发业。从业人员200人以下或营业收入40000万元以下的为中小微型企业。其中，从业人员20人及以上，且营业收入5000万元及以上的为中型企业；从业人员5人及以上，且营业收入1000万元及以上的为小型企业；从业人员5人以下或营业收入1000万元以下的为微型企业。</w:t>
      </w:r>
    </w:p>
    <w:p w14:paraId="20C67AE5">
      <w:pPr>
        <w:spacing w:line="480" w:lineRule="auto"/>
        <w:rPr>
          <w:sz w:val="24"/>
          <w:szCs w:val="24"/>
        </w:rPr>
      </w:pPr>
      <w:r>
        <w:rPr>
          <w:rFonts w:hint="eastAsia"/>
          <w:sz w:val="24"/>
          <w:szCs w:val="24"/>
        </w:rPr>
        <w:t>　　（五）零售业。从业人员300人以下或营业收入20000万元以下的为中小微型企业。其中，从业人员50人及以上，且营业收入500万元及以上的为中型企业；从业人员10人及以上，且营业收入100万元及以上的为小型企业；从业人员10人以下或营业收入100万元以下的为微型企业。</w:t>
      </w:r>
    </w:p>
    <w:p w14:paraId="79655BE9">
      <w:pPr>
        <w:spacing w:line="480" w:lineRule="auto"/>
        <w:rPr>
          <w:sz w:val="24"/>
          <w:szCs w:val="24"/>
        </w:rPr>
      </w:pPr>
      <w:r>
        <w:rPr>
          <w:rFonts w:hint="eastAsia"/>
          <w:sz w:val="24"/>
          <w:szCs w:val="24"/>
        </w:rPr>
        <w:t>　　（六）交通运输业。从业人员1000人以下或营业收入30000万元以下的为中小微型企业。其中，从业人员300人及以上，且营业收入3000万元及以上的为中型企业；从业人员20人及以上，且营业收入200万元及以上的为小型企业；从业人员20人以下或营业收入200万元以下的为微型企业。</w:t>
      </w:r>
    </w:p>
    <w:p w14:paraId="4083E6BE">
      <w:pPr>
        <w:spacing w:line="480" w:lineRule="auto"/>
        <w:rPr>
          <w:sz w:val="24"/>
          <w:szCs w:val="24"/>
        </w:rPr>
      </w:pPr>
      <w:r>
        <w:rPr>
          <w:rFonts w:hint="eastAsia"/>
          <w:sz w:val="24"/>
          <w:szCs w:val="24"/>
        </w:rPr>
        <w:t>　　（七）仓储业。从业人员200人以下或营业收入30000万元以下的为中小微型企业。其中，从业人员100人及以上，且营业收入1000万元及以上的为中型企业；从业人员20人及以上，且营业收入100万元及以上的为小型企业；从业人员20人以下或营业收入100万元以下的为微型企业。</w:t>
      </w:r>
    </w:p>
    <w:p w14:paraId="1F37CC7C">
      <w:pPr>
        <w:spacing w:line="480" w:lineRule="auto"/>
        <w:rPr>
          <w:sz w:val="24"/>
          <w:szCs w:val="24"/>
        </w:rPr>
      </w:pPr>
      <w:r>
        <w:rPr>
          <w:rFonts w:hint="eastAsia"/>
          <w:sz w:val="24"/>
          <w:szCs w:val="24"/>
        </w:rPr>
        <w:t>　　（八）邮政业。从业人员1000人以下或营业收入30000万元以下的为中小微型企业。其中，从业人员300人及以上，且营业收入2000万元及以上的为中型企业；从业人员20人及以上，且营业收入100万元及以上的为小型企业；从业人员20人以下或营业收入100万元以下的为微型企业。</w:t>
      </w:r>
    </w:p>
    <w:p w14:paraId="3AAC7322">
      <w:pPr>
        <w:spacing w:line="480" w:lineRule="auto"/>
        <w:rPr>
          <w:sz w:val="24"/>
          <w:szCs w:val="24"/>
        </w:rPr>
      </w:pPr>
      <w:r>
        <w:rPr>
          <w:rFonts w:hint="eastAsia"/>
          <w:sz w:val="24"/>
          <w:szCs w:val="24"/>
        </w:rPr>
        <w:t>　　（九）住宿业。从业人员300人以下或营业收入10000万元以下的为中小微型企业。其中，从业人员100人及以上，且营业收入2000万元及以上的为中型企业；从业人员10人及以上，且营业收入100万元及以上的为小型企业；从业人员10人以下或营业收入100万元以下的为微型企业。</w:t>
      </w:r>
    </w:p>
    <w:p w14:paraId="04C9C123">
      <w:pPr>
        <w:spacing w:line="480" w:lineRule="auto"/>
        <w:rPr>
          <w:sz w:val="24"/>
          <w:szCs w:val="24"/>
        </w:rPr>
      </w:pPr>
      <w:r>
        <w:rPr>
          <w:rFonts w:hint="eastAsia"/>
          <w:sz w:val="24"/>
          <w:szCs w:val="24"/>
        </w:rPr>
        <w:t>　　（十）餐饮业。从业人员300人以下或营业收入10000万元以下的为中小微型企业。其中，从业人员100人及以上，且营业收入2000万元及以上的为中型企业；从业人员10人及以上，且营业收入100万元及以上的为小型企业；从业人员10人以下或营业收入100万元以下的为微型企业。</w:t>
      </w:r>
    </w:p>
    <w:p w14:paraId="4B0310C4">
      <w:pPr>
        <w:spacing w:line="480" w:lineRule="auto"/>
        <w:rPr>
          <w:sz w:val="24"/>
          <w:szCs w:val="24"/>
        </w:rPr>
      </w:pPr>
      <w:r>
        <w:rPr>
          <w:rFonts w:hint="eastAsia"/>
          <w:sz w:val="24"/>
          <w:szCs w:val="24"/>
        </w:rPr>
        <w:t>　　（十一）信息传输业。从业人员2000人以下或营业收入100000万元以下的为中小微型企业。其中，从业人员100人及以上，且营业收入1000万元及以上的为中型企业；从业人员10人及以上，且营业收入100万元及以上的为小型企业；从业人员10人以下或营业收入100万元以下的为微型企业。</w:t>
      </w:r>
    </w:p>
    <w:p w14:paraId="4FA6F9C2">
      <w:pPr>
        <w:spacing w:line="480" w:lineRule="auto"/>
        <w:rPr>
          <w:sz w:val="24"/>
          <w:szCs w:val="24"/>
        </w:rPr>
      </w:pPr>
      <w:r>
        <w:rPr>
          <w:rFonts w:hint="eastAsia"/>
          <w:sz w:val="24"/>
          <w:szCs w:val="24"/>
        </w:rPr>
        <w:t>　　（十二）软件和信息技术服务业。从业人员300人以下或营业收入10000万元以下的为中小微型企业。其中，从业人员100人及以上，且营业收入1000万元及以上的为中型企业；从业人员10人及以上，且营业收入50万元及以上的为小型企业；从业人员10人以下或营业收入50万元以下的为微型企业。</w:t>
      </w:r>
    </w:p>
    <w:p w14:paraId="53C8570D">
      <w:pPr>
        <w:spacing w:line="480" w:lineRule="auto"/>
        <w:rPr>
          <w:sz w:val="24"/>
          <w:szCs w:val="24"/>
        </w:rPr>
      </w:pPr>
      <w:r>
        <w:rPr>
          <w:rFonts w:hint="eastAsia"/>
          <w:sz w:val="24"/>
          <w:szCs w:val="24"/>
        </w:rPr>
        <w:t>　　（十三）房地产开发经营。营业收入200000万元以下或资产总额10000万元以下的为中小微型企业。其中，营业收入1000万元及以上，且资产总额5000万元及以上的为中型企业；营业收入100万元及以上，且资产总额2000万元及以上的为小型企业；营业收入100万元以下或资产总额2000万元以下的为微型企业。</w:t>
      </w:r>
    </w:p>
    <w:p w14:paraId="47C063D1">
      <w:pPr>
        <w:spacing w:line="480" w:lineRule="auto"/>
        <w:rPr>
          <w:sz w:val="24"/>
          <w:szCs w:val="24"/>
        </w:rPr>
      </w:pPr>
      <w:r>
        <w:rPr>
          <w:rFonts w:hint="eastAsia"/>
          <w:sz w:val="24"/>
          <w:szCs w:val="24"/>
        </w:rPr>
        <w:t>　　（十四）物业管理。从业人员1000人以下或营业收入5000万元以下的为中小微型企业。其中，从业人员300人及以上，且营业收入1000万元及以上的为中型企业；从业人员100人及以上，且营业收入500万元及以上的为小型企业；从业人员100人以下或营业收入500万元以下的为微型企业。</w:t>
      </w:r>
    </w:p>
    <w:p w14:paraId="3AC21774">
      <w:pPr>
        <w:spacing w:line="480" w:lineRule="auto"/>
        <w:rPr>
          <w:sz w:val="24"/>
          <w:szCs w:val="24"/>
        </w:rPr>
      </w:pPr>
      <w:r>
        <w:rPr>
          <w:rFonts w:hint="eastAsia"/>
          <w:sz w:val="24"/>
          <w:szCs w:val="24"/>
        </w:rPr>
        <w:t>　　（十五）租赁和商务服务业。从业人员300人以下或资产总额120000万元以下的为中小微型企业。其中，从业人员100人及以上，且资产总额8000万元及以上的为中型企业；从业人员10人及以上，且资产总额100万元及以上的为小型企业；从业人员10人以下或资产总额100万元以下的为微型企业。</w:t>
      </w:r>
    </w:p>
    <w:p w14:paraId="430A7E67">
      <w:pPr>
        <w:spacing w:line="480" w:lineRule="auto"/>
        <w:rPr>
          <w:sz w:val="24"/>
          <w:szCs w:val="24"/>
        </w:rPr>
      </w:pPr>
      <w:r>
        <w:rPr>
          <w:rFonts w:hint="eastAsia"/>
          <w:sz w:val="24"/>
          <w:szCs w:val="24"/>
        </w:rPr>
        <w:t>　　（十六）其他未列明行业。从业人员300人以下的为中小微型企业。其中，从业人员100人及以上的为中型企业；从业人员10人及以上的为小型企业；从业人员10人以下的为微型企业。</w:t>
      </w:r>
    </w:p>
    <w:p w14:paraId="04A01747">
      <w:pPr>
        <w:spacing w:line="480" w:lineRule="auto"/>
        <w:rPr>
          <w:sz w:val="24"/>
          <w:szCs w:val="24"/>
        </w:rPr>
      </w:pPr>
      <w:r>
        <w:rPr>
          <w:rFonts w:hint="eastAsia"/>
          <w:sz w:val="24"/>
          <w:szCs w:val="24"/>
        </w:rPr>
        <w:t>　　五、企业类型的划分以统计部门的统计数据为依据。</w:t>
      </w:r>
    </w:p>
    <w:p w14:paraId="0CA9BAD0">
      <w:pPr>
        <w:spacing w:line="480" w:lineRule="auto"/>
        <w:rPr>
          <w:sz w:val="24"/>
          <w:szCs w:val="24"/>
        </w:rPr>
      </w:pPr>
      <w:r>
        <w:rPr>
          <w:rFonts w:hint="eastAsia"/>
          <w:sz w:val="24"/>
          <w:szCs w:val="24"/>
        </w:rPr>
        <w:t>　　六、本规定适用于在中华人民共和国境内依法设立的各类所有制和各种组织形式的企业。个体工商户和本规定以外的行业，参照本规定进行划型。</w:t>
      </w:r>
    </w:p>
    <w:p w14:paraId="667083FE">
      <w:pPr>
        <w:spacing w:line="480" w:lineRule="auto"/>
        <w:rPr>
          <w:sz w:val="24"/>
          <w:szCs w:val="24"/>
        </w:rPr>
      </w:pPr>
      <w:r>
        <w:rPr>
          <w:rFonts w:hint="eastAsia"/>
          <w:sz w:val="24"/>
          <w:szCs w:val="24"/>
        </w:rPr>
        <w:t>　　七、本规定的中型企业标准上限即为大型企业标准的下限，国家统计部门据此制定大中小微型企业的统计分类。国务院有关部门据此进行相关数据分析，不得制定与本规定不一致的企业划型标准。</w:t>
      </w:r>
    </w:p>
    <w:p w14:paraId="05849D97">
      <w:pPr>
        <w:spacing w:line="480" w:lineRule="auto"/>
        <w:rPr>
          <w:sz w:val="24"/>
          <w:szCs w:val="24"/>
        </w:rPr>
      </w:pPr>
      <w:r>
        <w:rPr>
          <w:rFonts w:hint="eastAsia"/>
          <w:sz w:val="24"/>
          <w:szCs w:val="24"/>
        </w:rPr>
        <w:t>　　八、本规定由工业和信息化部、国家统计局会同有关部门根据《国民经济行业分类》修订情况和企业发展变化情况适时修订。</w:t>
      </w:r>
    </w:p>
    <w:p w14:paraId="4B9E5610">
      <w:pPr>
        <w:spacing w:line="480" w:lineRule="auto"/>
        <w:rPr>
          <w:sz w:val="24"/>
          <w:szCs w:val="24"/>
        </w:rPr>
      </w:pPr>
      <w:r>
        <w:rPr>
          <w:rFonts w:hint="eastAsia"/>
          <w:sz w:val="24"/>
          <w:szCs w:val="24"/>
        </w:rPr>
        <w:t>　　九、本规定由工业和信息化部、国家统计局会同有关部门负责解释。</w:t>
      </w:r>
    </w:p>
    <w:p w14:paraId="14588419">
      <w:pPr>
        <w:spacing w:line="480" w:lineRule="auto"/>
        <w:rPr>
          <w:sz w:val="24"/>
          <w:szCs w:val="24"/>
        </w:rPr>
      </w:pPr>
      <w:r>
        <w:rPr>
          <w:rFonts w:hint="eastAsia"/>
          <w:sz w:val="24"/>
          <w:szCs w:val="24"/>
        </w:rPr>
        <w:t>　　十、本规定自发布之日起执行，原国家经贸委、原国家计委、财政部和国家统计局2003年颁布的《中小企业标准暂行规定》同时废止。</w:t>
      </w:r>
    </w:p>
    <w:sectPr>
      <w:headerReference r:id="rId20" w:type="default"/>
      <w:pgSz w:w="11906" w:h="16838"/>
      <w:pgMar w:top="1440" w:right="1080" w:bottom="1440" w:left="1080" w:header="720" w:footer="720" w:gutter="0"/>
      <w:cols w:space="720" w:num="1"/>
      <w:titlePg/>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altName w:val="仿宋"/>
    <w:panose1 w:val="02010609030101010101"/>
    <w:charset w:val="86"/>
    <w:family w:val="modern"/>
    <w:pitch w:val="default"/>
    <w:sig w:usb0="00000000" w:usb1="00000000" w:usb2="00000010" w:usb3="00000000" w:csb0="00040000" w:csb1="00000000"/>
  </w:font>
  <w:font w:name="仿宋">
    <w:panose1 w:val="02010609060101010101"/>
    <w:charset w:val="86"/>
    <w:family w:val="modern"/>
    <w:pitch w:val="default"/>
    <w:sig w:usb0="800002BF" w:usb1="38CF7CFA" w:usb2="00000016" w:usb3="00000000" w:csb0="00040001" w:csb1="00000000"/>
  </w:font>
  <w:font w:name="monospace">
    <w:altName w:val="Segoe Print"/>
    <w:panose1 w:val="00000000000000000000"/>
    <w:charset w:val="00"/>
    <w:family w:val="auto"/>
    <w:pitch w:val="default"/>
    <w:sig w:usb0="00000000" w:usb1="00000000" w:usb2="00000000" w:usb3="00000000" w:csb0="00000000" w:csb1="00000000"/>
  </w:font>
  <w:font w:name="Segoe Print">
    <w:panose1 w:val="02000600000000000000"/>
    <w:charset w:val="00"/>
    <w:family w:val="auto"/>
    <w:pitch w:val="default"/>
    <w:sig w:usb0="0000028F" w:usb1="00000000" w:usb2="00000000" w:usb3="00000000" w:csb0="2000009F" w:csb1="47010000"/>
  </w:font>
  <w:font w:name="Segoe UI Symbol">
    <w:panose1 w:val="020B0502040204020203"/>
    <w:charset w:val="00"/>
    <w:family w:val="swiss"/>
    <w:pitch w:val="default"/>
    <w:sig w:usb0="800001E3" w:usb1="1200FFEF" w:usb2="00040000" w:usb3="04000000" w:csb0="00000001" w:csb1="40000000"/>
  </w:font>
  <w:font w:name="等线">
    <w:panose1 w:val="02010600030101010101"/>
    <w:charset w:val="86"/>
    <w:family w:val="auto"/>
    <w:pitch w:val="default"/>
    <w:sig w:usb0="A00002BF" w:usb1="38CF7CFA" w:usb2="00000016" w:usb3="00000000" w:csb0="0004000F" w:csb1="00000000"/>
  </w:font>
  <w:font w:name="华文中宋">
    <w:altName w:val="宋体"/>
    <w:panose1 w:val="02010600040101010101"/>
    <w:charset w:val="86"/>
    <w:family w:val="auto"/>
    <w:pitch w:val="default"/>
    <w:sig w:usb0="00000000" w:usb1="00000000" w:usb2="00000010" w:usb3="00000000" w:csb0="0004009F" w:csb1="00000000"/>
  </w:font>
  <w:font w:name="DejaVuSans">
    <w:altName w:val="Segoe Print"/>
    <w:panose1 w:val="00000000000000000000"/>
    <w:charset w:val="00"/>
    <w:family w:val="auto"/>
    <w:pitch w:val="default"/>
    <w:sig w:usb0="00000000" w:usb1="00000000" w:usb2="00000000" w:usb3="00000000" w:csb0="0000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07BB250">
    <w:pPr>
      <w:pStyle w:val="7"/>
      <w:tabs>
        <w:tab w:val="left" w:pos="9540"/>
      </w:tabs>
      <w:wordWrap w:val="0"/>
      <w:ind w:right="360" w:firstLine="360"/>
      <w:jc w:val="right"/>
      <w:rPr>
        <w:rFonts w:hint="eastAsia" w:ascii="宋体" w:hAnsi="宋体"/>
        <w:szCs w:val="21"/>
      </w:rPr>
    </w:pPr>
    <w:r>
      <w:rPr>
        <w:rFonts w:hint="eastAsia" w:ascii="宋体" w:hAnsi="宋体"/>
        <w:szCs w:val="21"/>
      </w:rPr>
      <w:t xml:space="preserve">   </w:t>
    </w:r>
  </w:p>
</w:ftr>
</file>

<file path=word/footer1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371BF9B">
    <w:pPr>
      <w:spacing w:line="201" w:lineRule="auto"/>
      <w:ind w:left="4548"/>
      <w:rPr>
        <w:rFonts w:ascii="Arial" w:hAnsi="Arial" w:eastAsia="Arial" w:cs="Arial"/>
        <w:sz w:val="18"/>
        <w:szCs w:val="18"/>
      </w:rPr>
    </w:pPr>
    <w:r>
      <w:rPr>
        <w:sz w:val="18"/>
      </w:rP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1828800" cy="1828800"/>
              <wp:effectExtent l="0" t="0" r="0" b="0"/>
              <wp:wrapNone/>
              <wp:docPr id="7" name="文本框 7"/>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057AFAF5">
                          <w:pPr>
                            <w:pStyle w:val="12"/>
                          </w:pPr>
                          <w:r>
                            <w:fldChar w:fldCharType="begin"/>
                          </w:r>
                          <w:r>
                            <w:instrText xml:space="preserve"> PAGE  \* MERGEFORMAT </w:instrText>
                          </w:r>
                          <w:r>
                            <w:fldChar w:fldCharType="separate"/>
                          </w:r>
                          <w:r>
                            <w:t>48</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336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">
              <v:fill on="f" focussize="0,0"/>
              <v:stroke on="f" weight="0.5pt"/>
              <v:imagedata o:title=""/>
              <o:lock v:ext="edit" aspectratio="f"/>
              <v:textbox inset="0mm,0mm,0mm,0mm" style="mso-fit-shape-to-text:t;">
                <w:txbxContent>
                  <w:p w14:paraId="057AFAF5">
                    <w:pPr>
                      <w:pStyle w:val="12"/>
                    </w:pPr>
                    <w:r>
                      <w:fldChar w:fldCharType="begin"/>
                    </w:r>
                    <w:r>
                      <w:instrText xml:space="preserve"> PAGE  \* MERGEFORMAT </w:instrText>
                    </w:r>
                    <w:r>
                      <w:fldChar w:fldCharType="separate"/>
                    </w:r>
                    <w:r>
                      <w:t>48</w:t>
                    </w:r>
                    <w:r>
                      <w:fldChar w:fldCharType="end"/>
                    </w: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51BBCCB">
    <w:pPr>
      <w:pStyle w:val="7"/>
      <w:framePr w:wrap="around" w:vAnchor="text" w:hAnchor="margin" w:xAlign="center" w:y="1"/>
    </w:pPr>
    <w:r>
      <w:fldChar w:fldCharType="begin"/>
    </w:r>
    <w:r>
      <w:instrText xml:space="preserve">PAGE  </w:instrText>
    </w:r>
    <w:r>
      <w:fldChar w:fldCharType="separate"/>
    </w:r>
    <w:r>
      <w:t>- 30 -</w:t>
    </w:r>
    <w:r>
      <w:fldChar w:fldCharType="end"/>
    </w:r>
  </w:p>
  <w:p w14:paraId="7426A2F7">
    <w:pPr>
      <w:pStyle w:val="7"/>
      <w:framePr w:wrap="around" w:vAnchor="text" w:hAnchor="margin" w:xAlign="right" w:y="1"/>
      <w:ind w:right="360" w:firstLine="360"/>
    </w:pPr>
  </w:p>
  <w:p w14:paraId="0946DB2A">
    <w:pPr>
      <w:pStyle w:val="7"/>
      <w:ind w:right="360" w:firstLine="360"/>
      <w:rPr>
        <w:rFonts w:eastAsia="仿宋_GB2312"/>
      </w:rPr>
    </w:pPr>
    <w:r>
      <w:rPr>
        <w:rFonts w:hint="eastAsia" w:ascii="仿宋_GB2312" w:eastAsia="仿宋_GB2312"/>
      </w:rPr>
      <w:t xml:space="preserve">                                                                     中建鼎正项目管理有限公司</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6A14517">
    <w:pPr>
      <w:pStyle w:val="7"/>
      <w:tabs>
        <w:tab w:val="center" w:pos="4819"/>
        <w:tab w:val="left" w:pos="9540"/>
      </w:tabs>
      <w:ind w:right="360"/>
      <w:rPr>
        <w:rFonts w:hint="eastAsia" w:ascii="宋体" w:hAnsi="宋体"/>
        <w:szCs w:val="21"/>
      </w:rPr>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1B1446F">
    <w:pPr>
      <w:pStyle w:val="12"/>
      <w:ind w:right="360"/>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3D67E0B">
    <w:pPr>
      <w:pStyle w:val="12"/>
      <w:jc w:val="right"/>
    </w:pP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A057E3C">
    <w:pPr>
      <w:spacing w:line="201" w:lineRule="auto"/>
      <w:rPr>
        <w:rFonts w:ascii="Arial" w:hAnsi="Arial" w:cs="Arial"/>
        <w:sz w:val="18"/>
        <w:szCs w:val="18"/>
      </w:rPr>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3" name="文本框 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278FC1ED">
                          <w:pPr>
                            <w:pStyle w:val="12"/>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">
              <v:fill on="f" focussize="0,0"/>
              <v:stroke on="f" weight="0.5pt"/>
              <v:imagedata o:title=""/>
              <o:lock v:ext="edit" aspectratio="f"/>
              <v:textbox inset="0mm,0mm,0mm,0mm" style="mso-fit-shape-to-text:t;">
                <w:txbxContent>
                  <w:p w14:paraId="278FC1ED">
                    <w:pPr>
                      <w:pStyle w:val="12"/>
                    </w:pPr>
                    <w:r>
                      <w:fldChar w:fldCharType="begin"/>
                    </w:r>
                    <w:r>
                      <w:instrText xml:space="preserve"> PAGE  \* MERGEFORMAT </w:instrText>
                    </w:r>
                    <w:r>
                      <w:fldChar w:fldCharType="separate"/>
                    </w:r>
                    <w:r>
                      <w:t>1</w:t>
                    </w:r>
                    <w:r>
                      <w:fldChar w:fldCharType="end"/>
                    </w:r>
                  </w:p>
                </w:txbxContent>
              </v:textbox>
            </v:shape>
          </w:pict>
        </mc:Fallback>
      </mc:AlternateContent>
    </w: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F99D208">
    <w:pPr>
      <w:spacing w:line="201" w:lineRule="auto"/>
      <w:ind w:left="4548"/>
      <w:rPr>
        <w:rFonts w:ascii="Arial" w:hAnsi="Arial" w:eastAsia="Arial" w:cs="Arial"/>
        <w:sz w:val="18"/>
        <w:szCs w:val="18"/>
      </w:rPr>
    </w:pPr>
    <w:r>
      <w:rPr>
        <w:sz w:val="18"/>
      </w:rP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5565AEFA">
                          <w:pPr>
                            <w:pStyle w:val="12"/>
                          </w:pPr>
                          <w:r>
                            <w:fldChar w:fldCharType="begin"/>
                          </w:r>
                          <w:r>
                            <w:instrText xml:space="preserve"> PAGE  \* MERGEFORMAT </w:instrText>
                          </w:r>
                          <w:r>
                            <w:fldChar w:fldCharType="separate"/>
                          </w:r>
                          <w:r>
                            <w:t>35</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">
              <v:fill on="f" focussize="0,0"/>
              <v:stroke on="f" weight="0.5pt"/>
              <v:imagedata o:title=""/>
              <o:lock v:ext="edit" aspectratio="f"/>
              <v:textbox inset="0mm,0mm,0mm,0mm" style="mso-fit-shape-to-text:t;">
                <w:txbxContent>
                  <w:p w14:paraId="5565AEFA">
                    <w:pPr>
                      <w:pStyle w:val="12"/>
                    </w:pPr>
                    <w:r>
                      <w:fldChar w:fldCharType="begin"/>
                    </w:r>
                    <w:r>
                      <w:instrText xml:space="preserve"> PAGE  \* MERGEFORMAT </w:instrText>
                    </w:r>
                    <w:r>
                      <w:fldChar w:fldCharType="separate"/>
                    </w:r>
                    <w:r>
                      <w:t>35</w:t>
                    </w:r>
                    <w:r>
                      <w:fldChar w:fldCharType="end"/>
                    </w:r>
                  </w:p>
                </w:txbxContent>
              </v:textbox>
            </v:shape>
          </w:pict>
        </mc:Fallback>
      </mc:AlternateContent>
    </w:r>
    <w:r>
      <w:rPr>
        <w:rFonts w:ascii="Arial" w:hAnsi="Arial" w:eastAsia="Arial" w:cs="Arial"/>
        <w:spacing w:val="7"/>
        <w:sz w:val="18"/>
        <w:szCs w:val="18"/>
      </w:rPr>
      <w:t>5</w:t>
    </w:r>
    <w:r>
      <w:rPr>
        <w:rFonts w:ascii="Arial" w:hAnsi="Arial" w:eastAsia="Arial" w:cs="Arial"/>
        <w:spacing w:val="6"/>
        <w:sz w:val="18"/>
        <w:szCs w:val="18"/>
      </w:rPr>
      <w:t>2</w:t>
    </w: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7005F56">
    <w:pPr>
      <w:pStyle w:val="12"/>
      <w:ind w:right="360"/>
      <w:jc w:val="right"/>
    </w:pPr>
    <w:r>
      <mc:AlternateContent>
        <mc:Choice Requires="wps">
          <w:drawing>
            <wp:anchor distT="0" distB="0" distL="114300" distR="114300" simplePos="0" relativeHeight="251661312" behindDoc="0" locked="0" layoutInCell="1" allowOverlap="1">
              <wp:simplePos x="0" y="0"/>
              <wp:positionH relativeFrom="margin">
                <wp:align>center</wp:align>
              </wp:positionH>
              <wp:positionV relativeFrom="paragraph">
                <wp:posOffset>0</wp:posOffset>
              </wp:positionV>
              <wp:extent cx="1828800" cy="1828800"/>
              <wp:effectExtent l="0" t="0" r="0" b="0"/>
              <wp:wrapNone/>
              <wp:docPr id="5" name="文本框 5"/>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4D1DB1E5">
                          <w:pPr>
                            <w:pStyle w:val="12"/>
                          </w:pPr>
                          <w:r>
                            <w:fldChar w:fldCharType="begin"/>
                          </w:r>
                          <w:r>
                            <w:instrText xml:space="preserve"> PAGE  \* MERGEFORMAT </w:instrText>
                          </w:r>
                          <w:r>
                            <w:fldChar w:fldCharType="separate"/>
                          </w:r>
                          <w:r>
                            <w:t>2</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131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">
              <v:fill on="f" focussize="0,0"/>
              <v:stroke on="f" weight="0.5pt"/>
              <v:imagedata o:title=""/>
              <o:lock v:ext="edit" aspectratio="f"/>
              <v:textbox inset="0mm,0mm,0mm,0mm" style="mso-fit-shape-to-text:t;">
                <w:txbxContent>
                  <w:p w14:paraId="4D1DB1E5">
                    <w:pPr>
                      <w:pStyle w:val="12"/>
                    </w:pPr>
                    <w:r>
                      <w:fldChar w:fldCharType="begin"/>
                    </w:r>
                    <w:r>
                      <w:instrText xml:space="preserve"> PAGE  \* MERGEFORMAT </w:instrText>
                    </w:r>
                    <w:r>
                      <w:fldChar w:fldCharType="separate"/>
                    </w:r>
                    <w:r>
                      <w:t>2</w:t>
                    </w:r>
                    <w:r>
                      <w:fldChar w:fldCharType="end"/>
                    </w:r>
                  </w:p>
                </w:txbxContent>
              </v:textbox>
            </v:shape>
          </w:pict>
        </mc:Fallback>
      </mc:AlternateContent>
    </w: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DEAA006">
    <w:pPr>
      <w:pStyle w:val="12"/>
      <w:jc w:val="right"/>
    </w:pPr>
    <w:r>
      <mc:AlternateContent>
        <mc:Choice Requires="wps">
          <w:drawing>
            <wp:anchor distT="0" distB="0" distL="114300" distR="114300" simplePos="0" relativeHeight="251662336" behindDoc="0" locked="0" layoutInCell="1" allowOverlap="1">
              <wp:simplePos x="0" y="0"/>
              <wp:positionH relativeFrom="margin">
                <wp:align>center</wp:align>
              </wp:positionH>
              <wp:positionV relativeFrom="paragraph">
                <wp:posOffset>0</wp:posOffset>
              </wp:positionV>
              <wp:extent cx="1828800" cy="1828800"/>
              <wp:effectExtent l="0" t="0" r="0" b="0"/>
              <wp:wrapNone/>
              <wp:docPr id="6" name="文本框 6"/>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6633E092">
                          <w:pPr>
                            <w:pStyle w:val="12"/>
                          </w:pPr>
                          <w:r>
                            <w:fldChar w:fldCharType="begin"/>
                          </w:r>
                          <w:r>
                            <w:instrText xml:space="preserve"> PAGE  \* MERGEFORMAT </w:instrText>
                          </w:r>
                          <w:r>
                            <w:fldChar w:fldCharType="separate"/>
                          </w:r>
                          <w:r>
                            <w:t>36</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2336;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">
              <v:fill on="f" focussize="0,0"/>
              <v:stroke on="f" weight="0.5pt"/>
              <v:imagedata o:title=""/>
              <o:lock v:ext="edit" aspectratio="f"/>
              <v:textbox inset="0mm,0mm,0mm,0mm" style="mso-fit-shape-to-text:t;">
                <w:txbxContent>
                  <w:p w14:paraId="6633E092">
                    <w:pPr>
                      <w:pStyle w:val="12"/>
                    </w:pPr>
                    <w:r>
                      <w:fldChar w:fldCharType="begin"/>
                    </w:r>
                    <w:r>
                      <w:instrText xml:space="preserve"> PAGE  \* MERGEFORMAT </w:instrText>
                    </w:r>
                    <w:r>
                      <w:fldChar w:fldCharType="separate"/>
                    </w:r>
                    <w:r>
                      <w:t>36</w:t>
                    </w:r>
                    <w: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2CC7F07">
    <w:pPr>
      <w:pStyle w:val="13"/>
      <w:pBdr>
        <w:bottom w:val="none" w:color="auto" w:sz="0" w:space="0"/>
      </w:pBd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539E750">
    <w:pPr>
      <w:pStyle w:val="13"/>
      <w:pBdr>
        <w:bottom w:val="none" w:color="auto" w:sz="0" w:space="1"/>
      </w:pBd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973A8DF">
    <w:pPr>
      <w:pStyle w:val="13"/>
      <w:pBdr>
        <w:bottom w:val="none" w:color="auto" w:sz="0" w:space="0"/>
      </w:pBd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4AA8BE6">
    <w:pPr>
      <w:pStyle w:val="13"/>
      <w:pBdr>
        <w:top w:val="none" w:color="auto" w:sz="0" w:space="1"/>
        <w:left w:val="none" w:color="auto" w:sz="0" w:space="4"/>
        <w:bottom w:val="none" w:color="auto" w:sz="0" w:space="4"/>
        <w:right w:val="none" w:color="auto" w:sz="0" w:space="4"/>
      </w:pBdr>
      <w:jc w:val="both"/>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6247B24">
    <w:pPr>
      <w:pStyle w:val="13"/>
      <w:pBdr>
        <w:bottom w:val="none" w:color="auto" w:sz="0" w:space="1"/>
      </w:pBdr>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0AA2CFC">
    <w:pPr>
      <w:pStyle w:val="13"/>
      <w:pBdr>
        <w:bottom w:val="none" w:color="auto" w:sz="0" w:space="1"/>
      </w:pBdr>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CE44882">
    <w:pPr>
      <w:pStyle w:val="13"/>
      <w:pBdr>
        <w:bottom w:val="none" w:color="auto" w:sz="0" w:space="1"/>
      </w:pBdr>
      <w:jc w:val="both"/>
    </w:pP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14F8049">
    <w:pPr>
      <w:pStyle w:val="13"/>
      <w:pBdr>
        <w:bottom w:val="none" w:color="auto" w:sz="0" w:space="1"/>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9D4E9631"/>
    <w:multiLevelType w:val="singleLevel"/>
    <w:tmpl w:val="9D4E9631"/>
    <w:lvl w:ilvl="0" w:tentative="0">
      <w:start w:val="2"/>
      <w:numFmt w:val="chineseCounting"/>
      <w:suff w:val="nothing"/>
      <w:lvlText w:val="%1、"/>
      <w:lvlJc w:val="left"/>
      <w:rPr>
        <w:rFonts w:hint="eastAsia"/>
      </w:rPr>
    </w:lvl>
  </w:abstractNum>
  <w:abstractNum w:abstractNumId="1">
    <w:nsid w:val="A101BE4B"/>
    <w:multiLevelType w:val="singleLevel"/>
    <w:tmpl w:val="A101BE4B"/>
    <w:lvl w:ilvl="0" w:tentative="0">
      <w:start w:val="1"/>
      <w:numFmt w:val="decimal"/>
      <w:lvlText w:val="%1."/>
      <w:lvlJc w:val="left"/>
      <w:pPr>
        <w:tabs>
          <w:tab w:val="left" w:pos="312"/>
        </w:tabs>
      </w:pPr>
    </w:lvl>
  </w:abstractNum>
  <w:abstractNum w:abstractNumId="2">
    <w:nsid w:val="A139CBBA"/>
    <w:multiLevelType w:val="singleLevel"/>
    <w:tmpl w:val="A139CBBA"/>
    <w:lvl w:ilvl="0" w:tentative="0">
      <w:start w:val="1"/>
      <w:numFmt w:val="decimal"/>
      <w:suff w:val="nothing"/>
      <w:lvlText w:val="%1、"/>
      <w:lvlJc w:val="left"/>
    </w:lvl>
  </w:abstractNum>
  <w:abstractNum w:abstractNumId="3">
    <w:nsid w:val="CFB502AB"/>
    <w:multiLevelType w:val="singleLevel"/>
    <w:tmpl w:val="CFB502AB"/>
    <w:lvl w:ilvl="0" w:tentative="0">
      <w:start w:val="1"/>
      <w:numFmt w:val="decimal"/>
      <w:lvlText w:val="%1."/>
      <w:lvlJc w:val="left"/>
      <w:pPr>
        <w:tabs>
          <w:tab w:val="left" w:pos="312"/>
        </w:tabs>
      </w:pPr>
    </w:lvl>
  </w:abstractNum>
  <w:abstractNum w:abstractNumId="4">
    <w:nsid w:val="D7D534C3"/>
    <w:multiLevelType w:val="singleLevel"/>
    <w:tmpl w:val="D7D534C3"/>
    <w:lvl w:ilvl="0" w:tentative="0">
      <w:start w:val="1"/>
      <w:numFmt w:val="decimal"/>
      <w:lvlText w:val="%1."/>
      <w:lvlJc w:val="left"/>
      <w:pPr>
        <w:tabs>
          <w:tab w:val="left" w:pos="312"/>
        </w:tabs>
      </w:pPr>
      <w:rPr>
        <w:rFonts w:hint="default" w:ascii="宋体" w:hAnsi="宋体" w:eastAsia="宋体" w:cs="宋体"/>
        <w:sz w:val="24"/>
        <w:szCs w:val="24"/>
      </w:rPr>
    </w:lvl>
  </w:abstractNum>
  <w:abstractNum w:abstractNumId="5">
    <w:nsid w:val="E1C8A90E"/>
    <w:multiLevelType w:val="singleLevel"/>
    <w:tmpl w:val="E1C8A90E"/>
    <w:lvl w:ilvl="0" w:tentative="0">
      <w:start w:val="4"/>
      <w:numFmt w:val="chineseCounting"/>
      <w:suff w:val="space"/>
      <w:lvlText w:val="第%1章"/>
      <w:lvlJc w:val="left"/>
      <w:rPr>
        <w:rFonts w:hint="eastAsia"/>
      </w:rPr>
    </w:lvl>
  </w:abstractNum>
  <w:abstractNum w:abstractNumId="6">
    <w:nsid w:val="E8D64B8F"/>
    <w:multiLevelType w:val="singleLevel"/>
    <w:tmpl w:val="E8D64B8F"/>
    <w:lvl w:ilvl="0" w:tentative="0">
      <w:start w:val="10"/>
      <w:numFmt w:val="chineseCounting"/>
      <w:suff w:val="nothing"/>
      <w:lvlText w:val="%1、"/>
      <w:lvlJc w:val="left"/>
      <w:rPr>
        <w:rFonts w:hint="eastAsia"/>
      </w:rPr>
    </w:lvl>
  </w:abstractNum>
  <w:abstractNum w:abstractNumId="7">
    <w:nsid w:val="004EC816"/>
    <w:multiLevelType w:val="singleLevel"/>
    <w:tmpl w:val="004EC816"/>
    <w:lvl w:ilvl="0" w:tentative="0">
      <w:start w:val="1"/>
      <w:numFmt w:val="chineseCounting"/>
      <w:suff w:val="nothing"/>
      <w:lvlText w:val="%1、"/>
      <w:lvlJc w:val="left"/>
      <w:rPr>
        <w:rFonts w:hint="eastAsia"/>
      </w:rPr>
    </w:lvl>
  </w:abstractNum>
  <w:abstractNum w:abstractNumId="8">
    <w:nsid w:val="24A2B5AD"/>
    <w:multiLevelType w:val="singleLevel"/>
    <w:tmpl w:val="24A2B5AD"/>
    <w:lvl w:ilvl="0" w:tentative="0">
      <w:start w:val="1"/>
      <w:numFmt w:val="decimal"/>
      <w:suff w:val="space"/>
      <w:lvlText w:val="%1."/>
      <w:lvlJc w:val="left"/>
    </w:lvl>
  </w:abstractNum>
  <w:abstractNum w:abstractNumId="9">
    <w:nsid w:val="34BB469C"/>
    <w:multiLevelType w:val="singleLevel"/>
    <w:tmpl w:val="34BB469C"/>
    <w:lvl w:ilvl="0" w:tentative="0">
      <w:start w:val="1"/>
      <w:numFmt w:val="decimal"/>
      <w:suff w:val="nothing"/>
      <w:lvlText w:val="%1、"/>
      <w:lvlJc w:val="left"/>
    </w:lvl>
  </w:abstractNum>
  <w:abstractNum w:abstractNumId="10">
    <w:nsid w:val="421141CA"/>
    <w:multiLevelType w:val="singleLevel"/>
    <w:tmpl w:val="421141CA"/>
    <w:lvl w:ilvl="0" w:tentative="0">
      <w:start w:val="15"/>
      <w:numFmt w:val="decimal"/>
      <w:suff w:val="space"/>
      <w:lvlText w:val="%1."/>
      <w:lvlJc w:val="left"/>
    </w:lvl>
  </w:abstractNum>
  <w:abstractNum w:abstractNumId="11">
    <w:nsid w:val="74E5594D"/>
    <w:multiLevelType w:val="multilevel"/>
    <w:tmpl w:val="74E5594D"/>
    <w:lvl w:ilvl="0" w:tentative="0">
      <w:start w:val="1"/>
      <w:numFmt w:val="japaneseCounting"/>
      <w:lvlText w:val="%1、"/>
      <w:lvlJc w:val="left"/>
      <w:pPr>
        <w:ind w:left="534" w:hanging="429"/>
      </w:pPr>
      <w:rPr>
        <w:rFonts w:hint="default"/>
      </w:rPr>
    </w:lvl>
    <w:lvl w:ilvl="1" w:tentative="0">
      <w:start w:val="1"/>
      <w:numFmt w:val="lowerLetter"/>
      <w:lvlText w:val="%2)"/>
      <w:lvlJc w:val="left"/>
      <w:pPr>
        <w:ind w:left="985" w:hanging="440"/>
      </w:pPr>
    </w:lvl>
    <w:lvl w:ilvl="2" w:tentative="0">
      <w:start w:val="1"/>
      <w:numFmt w:val="lowerRoman"/>
      <w:lvlText w:val="%3."/>
      <w:lvlJc w:val="right"/>
      <w:pPr>
        <w:ind w:left="1425" w:hanging="440"/>
      </w:pPr>
    </w:lvl>
    <w:lvl w:ilvl="3" w:tentative="0">
      <w:start w:val="1"/>
      <w:numFmt w:val="decimal"/>
      <w:lvlText w:val="%4."/>
      <w:lvlJc w:val="left"/>
      <w:pPr>
        <w:ind w:left="1865" w:hanging="440"/>
      </w:pPr>
    </w:lvl>
    <w:lvl w:ilvl="4" w:tentative="0">
      <w:start w:val="1"/>
      <w:numFmt w:val="lowerLetter"/>
      <w:lvlText w:val="%5)"/>
      <w:lvlJc w:val="left"/>
      <w:pPr>
        <w:ind w:left="2305" w:hanging="440"/>
      </w:pPr>
    </w:lvl>
    <w:lvl w:ilvl="5" w:tentative="0">
      <w:start w:val="1"/>
      <w:numFmt w:val="lowerRoman"/>
      <w:lvlText w:val="%6."/>
      <w:lvlJc w:val="right"/>
      <w:pPr>
        <w:ind w:left="2745" w:hanging="440"/>
      </w:pPr>
    </w:lvl>
    <w:lvl w:ilvl="6" w:tentative="0">
      <w:start w:val="1"/>
      <w:numFmt w:val="decimal"/>
      <w:lvlText w:val="%7."/>
      <w:lvlJc w:val="left"/>
      <w:pPr>
        <w:ind w:left="3185" w:hanging="440"/>
      </w:pPr>
    </w:lvl>
    <w:lvl w:ilvl="7" w:tentative="0">
      <w:start w:val="1"/>
      <w:numFmt w:val="lowerLetter"/>
      <w:lvlText w:val="%8)"/>
      <w:lvlJc w:val="left"/>
      <w:pPr>
        <w:ind w:left="3625" w:hanging="440"/>
      </w:pPr>
    </w:lvl>
    <w:lvl w:ilvl="8" w:tentative="0">
      <w:start w:val="1"/>
      <w:numFmt w:val="lowerRoman"/>
      <w:lvlText w:val="%9."/>
      <w:lvlJc w:val="right"/>
      <w:pPr>
        <w:ind w:left="4065" w:hanging="440"/>
      </w:pPr>
    </w:lvl>
  </w:abstractNum>
  <w:num w:numId="1">
    <w:abstractNumId w:val="10"/>
  </w:num>
  <w:num w:numId="2">
    <w:abstractNumId w:val="5"/>
  </w:num>
  <w:num w:numId="3">
    <w:abstractNumId w:val="0"/>
  </w:num>
  <w:num w:numId="4">
    <w:abstractNumId w:val="7"/>
  </w:num>
  <w:num w:numId="5">
    <w:abstractNumId w:val="11"/>
  </w:num>
  <w:num w:numId="6">
    <w:abstractNumId w:val="1"/>
  </w:num>
  <w:num w:numId="7">
    <w:abstractNumId w:val="6"/>
  </w:num>
  <w:num w:numId="8">
    <w:abstractNumId w:val="3"/>
  </w:num>
  <w:num w:numId="9">
    <w:abstractNumId w:val="4"/>
  </w:num>
  <w:num w:numId="10">
    <w:abstractNumId w:val="2"/>
  </w:num>
  <w:num w:numId="11">
    <w:abstractNumId w:val="9"/>
  </w:num>
  <w:num w:numId="12">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0"/>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zFiYWNmOGMyMGJlZTQwMjM5ZjMwMjkzZWQ0NzU5ZDUifQ=="/>
  </w:docVars>
  <w:rsids>
    <w:rsidRoot w:val="00172A27"/>
    <w:rsid w:val="00003E9D"/>
    <w:rsid w:val="000108C2"/>
    <w:rsid w:val="000249A4"/>
    <w:rsid w:val="000404C1"/>
    <w:rsid w:val="00045781"/>
    <w:rsid w:val="00053A7C"/>
    <w:rsid w:val="00055C25"/>
    <w:rsid w:val="00061395"/>
    <w:rsid w:val="00067FFB"/>
    <w:rsid w:val="000F2C1B"/>
    <w:rsid w:val="00124B8D"/>
    <w:rsid w:val="00125FBC"/>
    <w:rsid w:val="00141923"/>
    <w:rsid w:val="00143E47"/>
    <w:rsid w:val="00145EF7"/>
    <w:rsid w:val="00156C8B"/>
    <w:rsid w:val="00156EDE"/>
    <w:rsid w:val="00172A27"/>
    <w:rsid w:val="001B68BE"/>
    <w:rsid w:val="001C0B93"/>
    <w:rsid w:val="001C6231"/>
    <w:rsid w:val="001E6F7F"/>
    <w:rsid w:val="001F490C"/>
    <w:rsid w:val="0021113D"/>
    <w:rsid w:val="0022413F"/>
    <w:rsid w:val="00271D23"/>
    <w:rsid w:val="0028654D"/>
    <w:rsid w:val="00296C16"/>
    <w:rsid w:val="00310A92"/>
    <w:rsid w:val="0031707E"/>
    <w:rsid w:val="003224A4"/>
    <w:rsid w:val="003432EB"/>
    <w:rsid w:val="00352D96"/>
    <w:rsid w:val="0039338E"/>
    <w:rsid w:val="003A4DB8"/>
    <w:rsid w:val="003B43FD"/>
    <w:rsid w:val="004319B1"/>
    <w:rsid w:val="0045098D"/>
    <w:rsid w:val="00481A1B"/>
    <w:rsid w:val="004979D7"/>
    <w:rsid w:val="004B70E7"/>
    <w:rsid w:val="004C2644"/>
    <w:rsid w:val="00501EE6"/>
    <w:rsid w:val="00535F9C"/>
    <w:rsid w:val="005533AB"/>
    <w:rsid w:val="005977BA"/>
    <w:rsid w:val="005A360E"/>
    <w:rsid w:val="005C0243"/>
    <w:rsid w:val="005C4285"/>
    <w:rsid w:val="005C648F"/>
    <w:rsid w:val="005E101B"/>
    <w:rsid w:val="005E1028"/>
    <w:rsid w:val="005F19B1"/>
    <w:rsid w:val="005F7251"/>
    <w:rsid w:val="00604BD4"/>
    <w:rsid w:val="0062641C"/>
    <w:rsid w:val="00642079"/>
    <w:rsid w:val="006523B5"/>
    <w:rsid w:val="00690770"/>
    <w:rsid w:val="006B5994"/>
    <w:rsid w:val="006F25C3"/>
    <w:rsid w:val="00732530"/>
    <w:rsid w:val="0074039E"/>
    <w:rsid w:val="00742C5A"/>
    <w:rsid w:val="007B451E"/>
    <w:rsid w:val="007D597E"/>
    <w:rsid w:val="0082593E"/>
    <w:rsid w:val="00886798"/>
    <w:rsid w:val="008873D6"/>
    <w:rsid w:val="0089375F"/>
    <w:rsid w:val="008D22FF"/>
    <w:rsid w:val="009A13B3"/>
    <w:rsid w:val="009D2E7A"/>
    <w:rsid w:val="009D5AA7"/>
    <w:rsid w:val="009E2925"/>
    <w:rsid w:val="009F7452"/>
    <w:rsid w:val="00A0799B"/>
    <w:rsid w:val="00A17198"/>
    <w:rsid w:val="00A861D0"/>
    <w:rsid w:val="00A944E0"/>
    <w:rsid w:val="00AE6D0B"/>
    <w:rsid w:val="00B008CE"/>
    <w:rsid w:val="00B071CC"/>
    <w:rsid w:val="00B12267"/>
    <w:rsid w:val="00B31D78"/>
    <w:rsid w:val="00B470FC"/>
    <w:rsid w:val="00B87A8B"/>
    <w:rsid w:val="00B97EDB"/>
    <w:rsid w:val="00BA149E"/>
    <w:rsid w:val="00BA5924"/>
    <w:rsid w:val="00BB6BEA"/>
    <w:rsid w:val="00BF0687"/>
    <w:rsid w:val="00BF6B2C"/>
    <w:rsid w:val="00C11E6C"/>
    <w:rsid w:val="00C4222B"/>
    <w:rsid w:val="00C45CB9"/>
    <w:rsid w:val="00C906FF"/>
    <w:rsid w:val="00C94E32"/>
    <w:rsid w:val="00CE6157"/>
    <w:rsid w:val="00D0329D"/>
    <w:rsid w:val="00D4780B"/>
    <w:rsid w:val="00D54D06"/>
    <w:rsid w:val="00D557E9"/>
    <w:rsid w:val="00D71C12"/>
    <w:rsid w:val="00DA2CDC"/>
    <w:rsid w:val="00DF50AE"/>
    <w:rsid w:val="00E336A5"/>
    <w:rsid w:val="00E56324"/>
    <w:rsid w:val="00E75EC3"/>
    <w:rsid w:val="00E76C8D"/>
    <w:rsid w:val="00E848D8"/>
    <w:rsid w:val="00EA1AF0"/>
    <w:rsid w:val="00EA5814"/>
    <w:rsid w:val="00ED3D15"/>
    <w:rsid w:val="00ED3E93"/>
    <w:rsid w:val="00F17645"/>
    <w:rsid w:val="00F44849"/>
    <w:rsid w:val="00F44FFD"/>
    <w:rsid w:val="00F5717D"/>
    <w:rsid w:val="00F572D7"/>
    <w:rsid w:val="00F767D8"/>
    <w:rsid w:val="00F81815"/>
    <w:rsid w:val="00FA71F3"/>
    <w:rsid w:val="00FA7C25"/>
    <w:rsid w:val="00FB3778"/>
    <w:rsid w:val="00FF41C9"/>
    <w:rsid w:val="018A6D55"/>
    <w:rsid w:val="018C2E93"/>
    <w:rsid w:val="01BD341E"/>
    <w:rsid w:val="01C52A70"/>
    <w:rsid w:val="01CB32F8"/>
    <w:rsid w:val="01EC4A64"/>
    <w:rsid w:val="021D31A3"/>
    <w:rsid w:val="02427F54"/>
    <w:rsid w:val="027968FC"/>
    <w:rsid w:val="028C627A"/>
    <w:rsid w:val="02D50705"/>
    <w:rsid w:val="02DE3109"/>
    <w:rsid w:val="02F3367D"/>
    <w:rsid w:val="031E15C9"/>
    <w:rsid w:val="03214C28"/>
    <w:rsid w:val="032E21ED"/>
    <w:rsid w:val="03394107"/>
    <w:rsid w:val="0340619D"/>
    <w:rsid w:val="036E7AD4"/>
    <w:rsid w:val="037E6D6A"/>
    <w:rsid w:val="038A36B8"/>
    <w:rsid w:val="038C1917"/>
    <w:rsid w:val="039A3B54"/>
    <w:rsid w:val="03A13629"/>
    <w:rsid w:val="03A55011"/>
    <w:rsid w:val="03AB0A69"/>
    <w:rsid w:val="03AE7844"/>
    <w:rsid w:val="03B10EED"/>
    <w:rsid w:val="03B65218"/>
    <w:rsid w:val="03B92EA5"/>
    <w:rsid w:val="03E2035D"/>
    <w:rsid w:val="03F31F5B"/>
    <w:rsid w:val="0414147C"/>
    <w:rsid w:val="04217676"/>
    <w:rsid w:val="042E398D"/>
    <w:rsid w:val="04447FB3"/>
    <w:rsid w:val="04842B2B"/>
    <w:rsid w:val="0494241D"/>
    <w:rsid w:val="04C44478"/>
    <w:rsid w:val="04D1736D"/>
    <w:rsid w:val="05015F14"/>
    <w:rsid w:val="05045CFA"/>
    <w:rsid w:val="050F692F"/>
    <w:rsid w:val="05113C4F"/>
    <w:rsid w:val="05584462"/>
    <w:rsid w:val="05735A3A"/>
    <w:rsid w:val="057E25B1"/>
    <w:rsid w:val="05D63A25"/>
    <w:rsid w:val="05E27A84"/>
    <w:rsid w:val="05EF7097"/>
    <w:rsid w:val="060B7A81"/>
    <w:rsid w:val="060F45F1"/>
    <w:rsid w:val="06204757"/>
    <w:rsid w:val="06204B85"/>
    <w:rsid w:val="064A211B"/>
    <w:rsid w:val="06664A58"/>
    <w:rsid w:val="0695319D"/>
    <w:rsid w:val="06A64813"/>
    <w:rsid w:val="06BA7B2D"/>
    <w:rsid w:val="06BB137A"/>
    <w:rsid w:val="06BE1F83"/>
    <w:rsid w:val="06CA277E"/>
    <w:rsid w:val="06F16136"/>
    <w:rsid w:val="06F17A58"/>
    <w:rsid w:val="06F97265"/>
    <w:rsid w:val="0707297D"/>
    <w:rsid w:val="077F3E9A"/>
    <w:rsid w:val="07805BEF"/>
    <w:rsid w:val="07930A17"/>
    <w:rsid w:val="079C7B5C"/>
    <w:rsid w:val="07E10D6B"/>
    <w:rsid w:val="07E70C26"/>
    <w:rsid w:val="081515F8"/>
    <w:rsid w:val="082500FC"/>
    <w:rsid w:val="08340E25"/>
    <w:rsid w:val="083B791F"/>
    <w:rsid w:val="083E4106"/>
    <w:rsid w:val="08656034"/>
    <w:rsid w:val="08AD24D3"/>
    <w:rsid w:val="08C24D94"/>
    <w:rsid w:val="08CB0CA3"/>
    <w:rsid w:val="08E27D9B"/>
    <w:rsid w:val="090C438D"/>
    <w:rsid w:val="09277E8E"/>
    <w:rsid w:val="09457FC5"/>
    <w:rsid w:val="094B1DE4"/>
    <w:rsid w:val="094E36A3"/>
    <w:rsid w:val="095F2A73"/>
    <w:rsid w:val="09772BD9"/>
    <w:rsid w:val="097F383C"/>
    <w:rsid w:val="09AB3020"/>
    <w:rsid w:val="09EC1A68"/>
    <w:rsid w:val="0A116C3C"/>
    <w:rsid w:val="0A326203"/>
    <w:rsid w:val="0A343E3A"/>
    <w:rsid w:val="0A66198D"/>
    <w:rsid w:val="0A7B3CF9"/>
    <w:rsid w:val="0A802ECB"/>
    <w:rsid w:val="0AC64238"/>
    <w:rsid w:val="0AF0679F"/>
    <w:rsid w:val="0B4F3554"/>
    <w:rsid w:val="0B515930"/>
    <w:rsid w:val="0B6E61C8"/>
    <w:rsid w:val="0B8F4572"/>
    <w:rsid w:val="0B9C659A"/>
    <w:rsid w:val="0BA41300"/>
    <w:rsid w:val="0BB3527C"/>
    <w:rsid w:val="0BC0320B"/>
    <w:rsid w:val="0C1344FB"/>
    <w:rsid w:val="0C1473F2"/>
    <w:rsid w:val="0C24211F"/>
    <w:rsid w:val="0C98133C"/>
    <w:rsid w:val="0CD11FD4"/>
    <w:rsid w:val="0CDF37AF"/>
    <w:rsid w:val="0CFE30E7"/>
    <w:rsid w:val="0D3229EB"/>
    <w:rsid w:val="0D4E3A91"/>
    <w:rsid w:val="0D7A4772"/>
    <w:rsid w:val="0D864ADA"/>
    <w:rsid w:val="0DB957A1"/>
    <w:rsid w:val="0DC40D6F"/>
    <w:rsid w:val="0DF739C2"/>
    <w:rsid w:val="0E1F1629"/>
    <w:rsid w:val="0E23320D"/>
    <w:rsid w:val="0E244D03"/>
    <w:rsid w:val="0E28071E"/>
    <w:rsid w:val="0E3D648D"/>
    <w:rsid w:val="0E550E35"/>
    <w:rsid w:val="0E5C27BC"/>
    <w:rsid w:val="0E623BB7"/>
    <w:rsid w:val="0E6662F0"/>
    <w:rsid w:val="0E6B38CB"/>
    <w:rsid w:val="0E790865"/>
    <w:rsid w:val="0EB222B3"/>
    <w:rsid w:val="0EC0292C"/>
    <w:rsid w:val="0EDC04F9"/>
    <w:rsid w:val="0EFD1F04"/>
    <w:rsid w:val="0F0E09E8"/>
    <w:rsid w:val="0F0F4D05"/>
    <w:rsid w:val="0F2647F1"/>
    <w:rsid w:val="0F5469D1"/>
    <w:rsid w:val="0F565859"/>
    <w:rsid w:val="0F6E6548"/>
    <w:rsid w:val="0F8320AA"/>
    <w:rsid w:val="0FA57686"/>
    <w:rsid w:val="0FCD1DD5"/>
    <w:rsid w:val="101850BA"/>
    <w:rsid w:val="103C4B2F"/>
    <w:rsid w:val="10401F77"/>
    <w:rsid w:val="106E3246"/>
    <w:rsid w:val="10B10A80"/>
    <w:rsid w:val="10B87C29"/>
    <w:rsid w:val="110A5530"/>
    <w:rsid w:val="113C6524"/>
    <w:rsid w:val="114D7B47"/>
    <w:rsid w:val="114E4CEB"/>
    <w:rsid w:val="117F087D"/>
    <w:rsid w:val="119360D6"/>
    <w:rsid w:val="1196070B"/>
    <w:rsid w:val="11C4119D"/>
    <w:rsid w:val="1209283C"/>
    <w:rsid w:val="1218482D"/>
    <w:rsid w:val="12231C75"/>
    <w:rsid w:val="12486EC1"/>
    <w:rsid w:val="124B09BA"/>
    <w:rsid w:val="127501C9"/>
    <w:rsid w:val="12835259"/>
    <w:rsid w:val="12C16468"/>
    <w:rsid w:val="12D22C2E"/>
    <w:rsid w:val="12D538E2"/>
    <w:rsid w:val="1303611B"/>
    <w:rsid w:val="133C594E"/>
    <w:rsid w:val="13414380"/>
    <w:rsid w:val="13660539"/>
    <w:rsid w:val="138C72A8"/>
    <w:rsid w:val="13A85CB1"/>
    <w:rsid w:val="13B0154C"/>
    <w:rsid w:val="13B912DB"/>
    <w:rsid w:val="13BE7925"/>
    <w:rsid w:val="13BF31B2"/>
    <w:rsid w:val="13EA29CE"/>
    <w:rsid w:val="142E543C"/>
    <w:rsid w:val="14551D69"/>
    <w:rsid w:val="145C0E0F"/>
    <w:rsid w:val="14631E85"/>
    <w:rsid w:val="148A5A85"/>
    <w:rsid w:val="148B5704"/>
    <w:rsid w:val="1492781D"/>
    <w:rsid w:val="149E1354"/>
    <w:rsid w:val="14CE30AB"/>
    <w:rsid w:val="14DB04C0"/>
    <w:rsid w:val="14DD78F7"/>
    <w:rsid w:val="14E35845"/>
    <w:rsid w:val="14F0121B"/>
    <w:rsid w:val="14F82764"/>
    <w:rsid w:val="14F86611"/>
    <w:rsid w:val="14F91FFB"/>
    <w:rsid w:val="15284F26"/>
    <w:rsid w:val="152D26FB"/>
    <w:rsid w:val="1546345F"/>
    <w:rsid w:val="15565F56"/>
    <w:rsid w:val="15576FE4"/>
    <w:rsid w:val="157013DF"/>
    <w:rsid w:val="15750B21"/>
    <w:rsid w:val="15A13A09"/>
    <w:rsid w:val="15A2107A"/>
    <w:rsid w:val="15DD2016"/>
    <w:rsid w:val="162C6C09"/>
    <w:rsid w:val="163C3478"/>
    <w:rsid w:val="165D0938"/>
    <w:rsid w:val="166A7A0B"/>
    <w:rsid w:val="16777D74"/>
    <w:rsid w:val="167A3D2E"/>
    <w:rsid w:val="169C735B"/>
    <w:rsid w:val="16A22690"/>
    <w:rsid w:val="16AF2D7E"/>
    <w:rsid w:val="16B8579F"/>
    <w:rsid w:val="16DE1111"/>
    <w:rsid w:val="16EA6280"/>
    <w:rsid w:val="16FF2507"/>
    <w:rsid w:val="17021B22"/>
    <w:rsid w:val="170A365A"/>
    <w:rsid w:val="170B6E95"/>
    <w:rsid w:val="170F6585"/>
    <w:rsid w:val="1759098C"/>
    <w:rsid w:val="175F6052"/>
    <w:rsid w:val="1775412A"/>
    <w:rsid w:val="177B7D38"/>
    <w:rsid w:val="178C6ABE"/>
    <w:rsid w:val="17B037A3"/>
    <w:rsid w:val="17B635A4"/>
    <w:rsid w:val="17D42946"/>
    <w:rsid w:val="17FB7F88"/>
    <w:rsid w:val="182C3059"/>
    <w:rsid w:val="184B23BE"/>
    <w:rsid w:val="18807773"/>
    <w:rsid w:val="189470F8"/>
    <w:rsid w:val="189613E9"/>
    <w:rsid w:val="18A02C47"/>
    <w:rsid w:val="18B40F9D"/>
    <w:rsid w:val="18C70B28"/>
    <w:rsid w:val="18DC7583"/>
    <w:rsid w:val="19036306"/>
    <w:rsid w:val="193E3DF9"/>
    <w:rsid w:val="194745D2"/>
    <w:rsid w:val="194D4B91"/>
    <w:rsid w:val="19540841"/>
    <w:rsid w:val="195922B7"/>
    <w:rsid w:val="19684ED6"/>
    <w:rsid w:val="198373D5"/>
    <w:rsid w:val="199A0B44"/>
    <w:rsid w:val="19BA3865"/>
    <w:rsid w:val="19D45D4B"/>
    <w:rsid w:val="1A493C6D"/>
    <w:rsid w:val="1A4C59BC"/>
    <w:rsid w:val="1A556FE2"/>
    <w:rsid w:val="1A921D7C"/>
    <w:rsid w:val="1A9E0A76"/>
    <w:rsid w:val="1AAA2D02"/>
    <w:rsid w:val="1AC34DEF"/>
    <w:rsid w:val="1AC94A6E"/>
    <w:rsid w:val="1AD1591E"/>
    <w:rsid w:val="1AEA0851"/>
    <w:rsid w:val="1AF908FD"/>
    <w:rsid w:val="1B042C3E"/>
    <w:rsid w:val="1B6F2CBA"/>
    <w:rsid w:val="1B7F5924"/>
    <w:rsid w:val="1B8053CF"/>
    <w:rsid w:val="1B954A42"/>
    <w:rsid w:val="1B9F5CE7"/>
    <w:rsid w:val="1BA65C67"/>
    <w:rsid w:val="1BA86A64"/>
    <w:rsid w:val="1BAA7F12"/>
    <w:rsid w:val="1BAD4238"/>
    <w:rsid w:val="1BDF401A"/>
    <w:rsid w:val="1BE3216D"/>
    <w:rsid w:val="1C1147C7"/>
    <w:rsid w:val="1C5E4627"/>
    <w:rsid w:val="1C5F36CC"/>
    <w:rsid w:val="1C6E39C8"/>
    <w:rsid w:val="1C8808A6"/>
    <w:rsid w:val="1CA31D4E"/>
    <w:rsid w:val="1CB04447"/>
    <w:rsid w:val="1D0873B1"/>
    <w:rsid w:val="1D1B51B1"/>
    <w:rsid w:val="1D1D701B"/>
    <w:rsid w:val="1D377940"/>
    <w:rsid w:val="1D725739"/>
    <w:rsid w:val="1D7310D0"/>
    <w:rsid w:val="1D990F18"/>
    <w:rsid w:val="1D9C7431"/>
    <w:rsid w:val="1DD75A1F"/>
    <w:rsid w:val="1DFB0CE7"/>
    <w:rsid w:val="1DFC4A23"/>
    <w:rsid w:val="1DFD1C32"/>
    <w:rsid w:val="1E053BCC"/>
    <w:rsid w:val="1E0E6048"/>
    <w:rsid w:val="1E3358E0"/>
    <w:rsid w:val="1E395A00"/>
    <w:rsid w:val="1E454BFC"/>
    <w:rsid w:val="1E4A2212"/>
    <w:rsid w:val="1E4D4C3E"/>
    <w:rsid w:val="1E710A26"/>
    <w:rsid w:val="1EA25D3B"/>
    <w:rsid w:val="1EB22CB4"/>
    <w:rsid w:val="1EBA6D4A"/>
    <w:rsid w:val="1ED930B9"/>
    <w:rsid w:val="1EDA048A"/>
    <w:rsid w:val="1F1116D7"/>
    <w:rsid w:val="1F5C3F9F"/>
    <w:rsid w:val="1F5C5540"/>
    <w:rsid w:val="1FB77754"/>
    <w:rsid w:val="1FFE32B4"/>
    <w:rsid w:val="20015EDA"/>
    <w:rsid w:val="200F6B9F"/>
    <w:rsid w:val="201640ED"/>
    <w:rsid w:val="201D3F63"/>
    <w:rsid w:val="20236CE3"/>
    <w:rsid w:val="20584626"/>
    <w:rsid w:val="2082291B"/>
    <w:rsid w:val="20891FCE"/>
    <w:rsid w:val="209E05F3"/>
    <w:rsid w:val="209F3D41"/>
    <w:rsid w:val="20AA0F7D"/>
    <w:rsid w:val="20C758F3"/>
    <w:rsid w:val="20E109BE"/>
    <w:rsid w:val="20F756A2"/>
    <w:rsid w:val="210768AA"/>
    <w:rsid w:val="212A48AF"/>
    <w:rsid w:val="212C5B40"/>
    <w:rsid w:val="217C4B9D"/>
    <w:rsid w:val="21814378"/>
    <w:rsid w:val="21B6147E"/>
    <w:rsid w:val="21BD0BF3"/>
    <w:rsid w:val="21C872A9"/>
    <w:rsid w:val="21CE7215"/>
    <w:rsid w:val="21EC6D8D"/>
    <w:rsid w:val="22121A64"/>
    <w:rsid w:val="223E3E3C"/>
    <w:rsid w:val="22B06E55"/>
    <w:rsid w:val="22C7782D"/>
    <w:rsid w:val="22DF561F"/>
    <w:rsid w:val="22EE01FF"/>
    <w:rsid w:val="22FA1D7A"/>
    <w:rsid w:val="23471E27"/>
    <w:rsid w:val="23766976"/>
    <w:rsid w:val="23775858"/>
    <w:rsid w:val="237E162F"/>
    <w:rsid w:val="23856B18"/>
    <w:rsid w:val="23906FDC"/>
    <w:rsid w:val="23A31C7A"/>
    <w:rsid w:val="23A711A8"/>
    <w:rsid w:val="23B94CB0"/>
    <w:rsid w:val="23C3077B"/>
    <w:rsid w:val="23FB5355"/>
    <w:rsid w:val="24517F65"/>
    <w:rsid w:val="24AC3202"/>
    <w:rsid w:val="24B23F19"/>
    <w:rsid w:val="24EB6362"/>
    <w:rsid w:val="24F46C02"/>
    <w:rsid w:val="251927EE"/>
    <w:rsid w:val="251C0747"/>
    <w:rsid w:val="256D0DD8"/>
    <w:rsid w:val="258954EA"/>
    <w:rsid w:val="25EA2571"/>
    <w:rsid w:val="26065417"/>
    <w:rsid w:val="2610789E"/>
    <w:rsid w:val="261570F4"/>
    <w:rsid w:val="262E75D3"/>
    <w:rsid w:val="263C0693"/>
    <w:rsid w:val="26482D7A"/>
    <w:rsid w:val="264B63C0"/>
    <w:rsid w:val="2656551B"/>
    <w:rsid w:val="265D6277"/>
    <w:rsid w:val="268E0511"/>
    <w:rsid w:val="269334F0"/>
    <w:rsid w:val="271E619A"/>
    <w:rsid w:val="27435A51"/>
    <w:rsid w:val="274A34CA"/>
    <w:rsid w:val="27AA4063"/>
    <w:rsid w:val="27B9389C"/>
    <w:rsid w:val="27C41069"/>
    <w:rsid w:val="27F356C9"/>
    <w:rsid w:val="281B4AE7"/>
    <w:rsid w:val="281E51E9"/>
    <w:rsid w:val="283D0C9B"/>
    <w:rsid w:val="28483DD1"/>
    <w:rsid w:val="285F7D73"/>
    <w:rsid w:val="287516A9"/>
    <w:rsid w:val="28953046"/>
    <w:rsid w:val="28A82266"/>
    <w:rsid w:val="28B438ED"/>
    <w:rsid w:val="28B51A5C"/>
    <w:rsid w:val="28B97452"/>
    <w:rsid w:val="28FC52BC"/>
    <w:rsid w:val="29436048"/>
    <w:rsid w:val="294B0269"/>
    <w:rsid w:val="295E353B"/>
    <w:rsid w:val="299D28DB"/>
    <w:rsid w:val="29B86432"/>
    <w:rsid w:val="29DC4A18"/>
    <w:rsid w:val="2A3741EF"/>
    <w:rsid w:val="2A6B7798"/>
    <w:rsid w:val="2A9F2773"/>
    <w:rsid w:val="2AAD28B1"/>
    <w:rsid w:val="2AE7423E"/>
    <w:rsid w:val="2AEA6A52"/>
    <w:rsid w:val="2AEF1FD3"/>
    <w:rsid w:val="2B12605F"/>
    <w:rsid w:val="2B1D4D88"/>
    <w:rsid w:val="2B3758CC"/>
    <w:rsid w:val="2B5D3F7C"/>
    <w:rsid w:val="2B933882"/>
    <w:rsid w:val="2BB4440B"/>
    <w:rsid w:val="2BC4479C"/>
    <w:rsid w:val="2BEA0BCA"/>
    <w:rsid w:val="2C08569F"/>
    <w:rsid w:val="2C171A99"/>
    <w:rsid w:val="2C196314"/>
    <w:rsid w:val="2C26034C"/>
    <w:rsid w:val="2C2A2A98"/>
    <w:rsid w:val="2C3A38C6"/>
    <w:rsid w:val="2C464B23"/>
    <w:rsid w:val="2C842D93"/>
    <w:rsid w:val="2C924C4A"/>
    <w:rsid w:val="2C9F641D"/>
    <w:rsid w:val="2CBB1494"/>
    <w:rsid w:val="2CBB6E75"/>
    <w:rsid w:val="2CBE763B"/>
    <w:rsid w:val="2CE00CBB"/>
    <w:rsid w:val="2CED0939"/>
    <w:rsid w:val="2D0636A9"/>
    <w:rsid w:val="2D2834C1"/>
    <w:rsid w:val="2D460049"/>
    <w:rsid w:val="2D4A70BF"/>
    <w:rsid w:val="2D655102"/>
    <w:rsid w:val="2D834DF9"/>
    <w:rsid w:val="2D8D3ECA"/>
    <w:rsid w:val="2DBA4FA6"/>
    <w:rsid w:val="2DC004C5"/>
    <w:rsid w:val="2DCB780F"/>
    <w:rsid w:val="2DD54FBE"/>
    <w:rsid w:val="2DD568CF"/>
    <w:rsid w:val="2DF355DA"/>
    <w:rsid w:val="2E092246"/>
    <w:rsid w:val="2E1E2185"/>
    <w:rsid w:val="2E2C3E41"/>
    <w:rsid w:val="2EA978D9"/>
    <w:rsid w:val="2EAD28B8"/>
    <w:rsid w:val="2EBE738E"/>
    <w:rsid w:val="2EE14E23"/>
    <w:rsid w:val="2EE3341C"/>
    <w:rsid w:val="2F0E448D"/>
    <w:rsid w:val="2F4F58DB"/>
    <w:rsid w:val="2F6D7D7A"/>
    <w:rsid w:val="2FAA2B11"/>
    <w:rsid w:val="2FAD1DC8"/>
    <w:rsid w:val="2FC721CB"/>
    <w:rsid w:val="300C3295"/>
    <w:rsid w:val="30215815"/>
    <w:rsid w:val="304E5806"/>
    <w:rsid w:val="30715CB7"/>
    <w:rsid w:val="309D23E8"/>
    <w:rsid w:val="30C06284"/>
    <w:rsid w:val="30ED7159"/>
    <w:rsid w:val="30F11FAE"/>
    <w:rsid w:val="30F1701C"/>
    <w:rsid w:val="311236A7"/>
    <w:rsid w:val="3115111F"/>
    <w:rsid w:val="31343328"/>
    <w:rsid w:val="313563D3"/>
    <w:rsid w:val="31466869"/>
    <w:rsid w:val="314B3BBE"/>
    <w:rsid w:val="314D19A6"/>
    <w:rsid w:val="31B24DBE"/>
    <w:rsid w:val="31CA6FF4"/>
    <w:rsid w:val="31D909CA"/>
    <w:rsid w:val="31E1251A"/>
    <w:rsid w:val="31E81056"/>
    <w:rsid w:val="31FC4E6F"/>
    <w:rsid w:val="31FC78E8"/>
    <w:rsid w:val="321D1044"/>
    <w:rsid w:val="32313806"/>
    <w:rsid w:val="324202BF"/>
    <w:rsid w:val="3250432D"/>
    <w:rsid w:val="327E7DE3"/>
    <w:rsid w:val="32885B7B"/>
    <w:rsid w:val="32B20B24"/>
    <w:rsid w:val="32B22ACE"/>
    <w:rsid w:val="32B95307"/>
    <w:rsid w:val="32CF0B66"/>
    <w:rsid w:val="32D65592"/>
    <w:rsid w:val="32D8384A"/>
    <w:rsid w:val="3321433A"/>
    <w:rsid w:val="332E07AE"/>
    <w:rsid w:val="333932F0"/>
    <w:rsid w:val="33447D88"/>
    <w:rsid w:val="33717808"/>
    <w:rsid w:val="33841DE7"/>
    <w:rsid w:val="338F5ED9"/>
    <w:rsid w:val="33BD1F8B"/>
    <w:rsid w:val="33E31CFF"/>
    <w:rsid w:val="33E84E0D"/>
    <w:rsid w:val="3407538A"/>
    <w:rsid w:val="340E749C"/>
    <w:rsid w:val="341E43D4"/>
    <w:rsid w:val="342C5A0F"/>
    <w:rsid w:val="346E05B1"/>
    <w:rsid w:val="348A4CBF"/>
    <w:rsid w:val="34D643A8"/>
    <w:rsid w:val="34D82D13"/>
    <w:rsid w:val="350A6A11"/>
    <w:rsid w:val="351A5A93"/>
    <w:rsid w:val="35366BF5"/>
    <w:rsid w:val="354B0F6E"/>
    <w:rsid w:val="357A1C0D"/>
    <w:rsid w:val="359E1737"/>
    <w:rsid w:val="35B23BE6"/>
    <w:rsid w:val="35B30926"/>
    <w:rsid w:val="35BC2B3C"/>
    <w:rsid w:val="35BD42D4"/>
    <w:rsid w:val="35C366DA"/>
    <w:rsid w:val="35D20381"/>
    <w:rsid w:val="360821F0"/>
    <w:rsid w:val="361F5D94"/>
    <w:rsid w:val="362F0382"/>
    <w:rsid w:val="368213D1"/>
    <w:rsid w:val="369500D7"/>
    <w:rsid w:val="3695350A"/>
    <w:rsid w:val="36997E18"/>
    <w:rsid w:val="36B31C7E"/>
    <w:rsid w:val="36BB547A"/>
    <w:rsid w:val="36EE5105"/>
    <w:rsid w:val="371D3482"/>
    <w:rsid w:val="371E516A"/>
    <w:rsid w:val="372238D5"/>
    <w:rsid w:val="373B34E8"/>
    <w:rsid w:val="37490021"/>
    <w:rsid w:val="37687DB6"/>
    <w:rsid w:val="3773605D"/>
    <w:rsid w:val="37857DB9"/>
    <w:rsid w:val="37A81CE0"/>
    <w:rsid w:val="37AE5168"/>
    <w:rsid w:val="37B31C40"/>
    <w:rsid w:val="37B43DBF"/>
    <w:rsid w:val="37DE2072"/>
    <w:rsid w:val="38146F03"/>
    <w:rsid w:val="38356594"/>
    <w:rsid w:val="387640E5"/>
    <w:rsid w:val="38B924EB"/>
    <w:rsid w:val="38F30332"/>
    <w:rsid w:val="390D7DB6"/>
    <w:rsid w:val="39331DC9"/>
    <w:rsid w:val="39355B41"/>
    <w:rsid w:val="39417394"/>
    <w:rsid w:val="39460245"/>
    <w:rsid w:val="396E7FFC"/>
    <w:rsid w:val="399D36E6"/>
    <w:rsid w:val="399D5557"/>
    <w:rsid w:val="39CE573B"/>
    <w:rsid w:val="3A227D51"/>
    <w:rsid w:val="3A322081"/>
    <w:rsid w:val="3A3A0B9B"/>
    <w:rsid w:val="3A865D46"/>
    <w:rsid w:val="3A9F4C9C"/>
    <w:rsid w:val="3AA23AEC"/>
    <w:rsid w:val="3AB3461D"/>
    <w:rsid w:val="3AB46F3A"/>
    <w:rsid w:val="3ADB0022"/>
    <w:rsid w:val="3AE25532"/>
    <w:rsid w:val="3AF26130"/>
    <w:rsid w:val="3B1807DC"/>
    <w:rsid w:val="3B2C7217"/>
    <w:rsid w:val="3B3C1F7E"/>
    <w:rsid w:val="3B432F60"/>
    <w:rsid w:val="3B5A188F"/>
    <w:rsid w:val="3B7F12F6"/>
    <w:rsid w:val="3B82084D"/>
    <w:rsid w:val="3B97132F"/>
    <w:rsid w:val="3B973AD0"/>
    <w:rsid w:val="3B9F6607"/>
    <w:rsid w:val="3BA527DC"/>
    <w:rsid w:val="3BA66882"/>
    <w:rsid w:val="3BB12163"/>
    <w:rsid w:val="3BB2388E"/>
    <w:rsid w:val="3BB973E6"/>
    <w:rsid w:val="3BCA1178"/>
    <w:rsid w:val="3BE70B67"/>
    <w:rsid w:val="3C0B5C89"/>
    <w:rsid w:val="3C1D4C0C"/>
    <w:rsid w:val="3C212A96"/>
    <w:rsid w:val="3C4A6BC7"/>
    <w:rsid w:val="3C4C4480"/>
    <w:rsid w:val="3C5204EF"/>
    <w:rsid w:val="3C5B3A42"/>
    <w:rsid w:val="3CCE71EB"/>
    <w:rsid w:val="3CD9333F"/>
    <w:rsid w:val="3CFC55A7"/>
    <w:rsid w:val="3D2B0B69"/>
    <w:rsid w:val="3D522C3F"/>
    <w:rsid w:val="3D763D6E"/>
    <w:rsid w:val="3DA44E6A"/>
    <w:rsid w:val="3DA6470B"/>
    <w:rsid w:val="3DA74D69"/>
    <w:rsid w:val="3DAD4589"/>
    <w:rsid w:val="3DAE2099"/>
    <w:rsid w:val="3DB679BF"/>
    <w:rsid w:val="3DC928E1"/>
    <w:rsid w:val="3DE06B2A"/>
    <w:rsid w:val="3DF24089"/>
    <w:rsid w:val="3E1877DF"/>
    <w:rsid w:val="3E2838A7"/>
    <w:rsid w:val="3E5B6889"/>
    <w:rsid w:val="3E7C4FD9"/>
    <w:rsid w:val="3E8C271F"/>
    <w:rsid w:val="3EC7065D"/>
    <w:rsid w:val="3ECB73CB"/>
    <w:rsid w:val="3ECE7A61"/>
    <w:rsid w:val="3EF21AC8"/>
    <w:rsid w:val="3F347CDF"/>
    <w:rsid w:val="3F6928D8"/>
    <w:rsid w:val="3F8C5D8F"/>
    <w:rsid w:val="3F9D3335"/>
    <w:rsid w:val="3FB00065"/>
    <w:rsid w:val="3FB129FB"/>
    <w:rsid w:val="404C58CC"/>
    <w:rsid w:val="405C2676"/>
    <w:rsid w:val="4071230B"/>
    <w:rsid w:val="407B6986"/>
    <w:rsid w:val="407C75F4"/>
    <w:rsid w:val="40833DF8"/>
    <w:rsid w:val="409B6F7A"/>
    <w:rsid w:val="40AF11F2"/>
    <w:rsid w:val="40B437EF"/>
    <w:rsid w:val="40E017D6"/>
    <w:rsid w:val="40F37567"/>
    <w:rsid w:val="412B7049"/>
    <w:rsid w:val="414B3C9E"/>
    <w:rsid w:val="414C203F"/>
    <w:rsid w:val="416C4821"/>
    <w:rsid w:val="418259F3"/>
    <w:rsid w:val="41A21DF5"/>
    <w:rsid w:val="41B7596C"/>
    <w:rsid w:val="41CD59C3"/>
    <w:rsid w:val="41D8023A"/>
    <w:rsid w:val="4214206C"/>
    <w:rsid w:val="42166091"/>
    <w:rsid w:val="42547E30"/>
    <w:rsid w:val="426E30BF"/>
    <w:rsid w:val="42701998"/>
    <w:rsid w:val="4284386F"/>
    <w:rsid w:val="42A264D0"/>
    <w:rsid w:val="42B15B0D"/>
    <w:rsid w:val="42B6123C"/>
    <w:rsid w:val="42E50E2C"/>
    <w:rsid w:val="430F2F5F"/>
    <w:rsid w:val="43813E03"/>
    <w:rsid w:val="4391739F"/>
    <w:rsid w:val="439707FE"/>
    <w:rsid w:val="43B74303"/>
    <w:rsid w:val="43EE6197"/>
    <w:rsid w:val="43F94CA3"/>
    <w:rsid w:val="44045607"/>
    <w:rsid w:val="440C56F0"/>
    <w:rsid w:val="442515B3"/>
    <w:rsid w:val="445867F2"/>
    <w:rsid w:val="447B69B3"/>
    <w:rsid w:val="448259B3"/>
    <w:rsid w:val="448C2866"/>
    <w:rsid w:val="449A0678"/>
    <w:rsid w:val="44DF115C"/>
    <w:rsid w:val="45014D6F"/>
    <w:rsid w:val="45024A87"/>
    <w:rsid w:val="450742D5"/>
    <w:rsid w:val="450F4A9E"/>
    <w:rsid w:val="45196317"/>
    <w:rsid w:val="454E13E5"/>
    <w:rsid w:val="455754C7"/>
    <w:rsid w:val="45A42874"/>
    <w:rsid w:val="45AD4CB1"/>
    <w:rsid w:val="45D5090F"/>
    <w:rsid w:val="45D51133"/>
    <w:rsid w:val="45DF6466"/>
    <w:rsid w:val="45E81E06"/>
    <w:rsid w:val="45F925AB"/>
    <w:rsid w:val="46033543"/>
    <w:rsid w:val="46060936"/>
    <w:rsid w:val="46123DE7"/>
    <w:rsid w:val="464D388A"/>
    <w:rsid w:val="46733805"/>
    <w:rsid w:val="469519CD"/>
    <w:rsid w:val="46B1432D"/>
    <w:rsid w:val="46C16790"/>
    <w:rsid w:val="46C351A7"/>
    <w:rsid w:val="46F42F83"/>
    <w:rsid w:val="46F87802"/>
    <w:rsid w:val="46F902D7"/>
    <w:rsid w:val="47191D31"/>
    <w:rsid w:val="47233297"/>
    <w:rsid w:val="474D6FBF"/>
    <w:rsid w:val="4755115C"/>
    <w:rsid w:val="47643C7B"/>
    <w:rsid w:val="477C68EF"/>
    <w:rsid w:val="478F6DB7"/>
    <w:rsid w:val="4792415F"/>
    <w:rsid w:val="47985C8C"/>
    <w:rsid w:val="47BA0D48"/>
    <w:rsid w:val="480706A9"/>
    <w:rsid w:val="48155FB2"/>
    <w:rsid w:val="483454F8"/>
    <w:rsid w:val="483B0BC3"/>
    <w:rsid w:val="485812D4"/>
    <w:rsid w:val="48765F24"/>
    <w:rsid w:val="489060B2"/>
    <w:rsid w:val="48A7593B"/>
    <w:rsid w:val="48D16F41"/>
    <w:rsid w:val="48EC629A"/>
    <w:rsid w:val="48F13107"/>
    <w:rsid w:val="4904108C"/>
    <w:rsid w:val="49044BE8"/>
    <w:rsid w:val="49136E4A"/>
    <w:rsid w:val="491D2A35"/>
    <w:rsid w:val="492C1579"/>
    <w:rsid w:val="493B0DB9"/>
    <w:rsid w:val="495530D2"/>
    <w:rsid w:val="497220F9"/>
    <w:rsid w:val="498D2E30"/>
    <w:rsid w:val="49B02FC2"/>
    <w:rsid w:val="49BD2344"/>
    <w:rsid w:val="49BE3F77"/>
    <w:rsid w:val="49CE2D1E"/>
    <w:rsid w:val="49EF5B24"/>
    <w:rsid w:val="4A034765"/>
    <w:rsid w:val="4A105393"/>
    <w:rsid w:val="4A1D1514"/>
    <w:rsid w:val="4A7F4833"/>
    <w:rsid w:val="4A90657C"/>
    <w:rsid w:val="4AFB02CB"/>
    <w:rsid w:val="4B055C4E"/>
    <w:rsid w:val="4B2A63D7"/>
    <w:rsid w:val="4B9058B3"/>
    <w:rsid w:val="4B977B4C"/>
    <w:rsid w:val="4BB97C83"/>
    <w:rsid w:val="4BCA7EDC"/>
    <w:rsid w:val="4BF84389"/>
    <w:rsid w:val="4C0F2222"/>
    <w:rsid w:val="4C125644"/>
    <w:rsid w:val="4C12586E"/>
    <w:rsid w:val="4C2C683C"/>
    <w:rsid w:val="4C382559"/>
    <w:rsid w:val="4C4F59B1"/>
    <w:rsid w:val="4C710AC0"/>
    <w:rsid w:val="4C96024D"/>
    <w:rsid w:val="4CAF542C"/>
    <w:rsid w:val="4CAF5AB3"/>
    <w:rsid w:val="4CBD3A2C"/>
    <w:rsid w:val="4CD47749"/>
    <w:rsid w:val="4CE70D72"/>
    <w:rsid w:val="4D0405F2"/>
    <w:rsid w:val="4D574863"/>
    <w:rsid w:val="4D5901FF"/>
    <w:rsid w:val="4D735553"/>
    <w:rsid w:val="4D87403A"/>
    <w:rsid w:val="4DA370C6"/>
    <w:rsid w:val="4DD64FA4"/>
    <w:rsid w:val="4E015096"/>
    <w:rsid w:val="4E0256F8"/>
    <w:rsid w:val="4E147B0D"/>
    <w:rsid w:val="4E1701BE"/>
    <w:rsid w:val="4E30647F"/>
    <w:rsid w:val="4E327A58"/>
    <w:rsid w:val="4E3E4963"/>
    <w:rsid w:val="4E68415A"/>
    <w:rsid w:val="4E904B1F"/>
    <w:rsid w:val="4E915901"/>
    <w:rsid w:val="4EC407DF"/>
    <w:rsid w:val="4EFA5BA5"/>
    <w:rsid w:val="4F3772AF"/>
    <w:rsid w:val="4F5814EB"/>
    <w:rsid w:val="4F716D4F"/>
    <w:rsid w:val="4F8C5BA8"/>
    <w:rsid w:val="4FB42E63"/>
    <w:rsid w:val="4FC033C4"/>
    <w:rsid w:val="502B6F4E"/>
    <w:rsid w:val="502F2DD9"/>
    <w:rsid w:val="503E0E60"/>
    <w:rsid w:val="505C5C87"/>
    <w:rsid w:val="5060176B"/>
    <w:rsid w:val="50703B60"/>
    <w:rsid w:val="50811937"/>
    <w:rsid w:val="5091441B"/>
    <w:rsid w:val="50AC1D83"/>
    <w:rsid w:val="50B7645A"/>
    <w:rsid w:val="50B83A43"/>
    <w:rsid w:val="50C03AEB"/>
    <w:rsid w:val="50D7699A"/>
    <w:rsid w:val="50D80E2E"/>
    <w:rsid w:val="50D94BAC"/>
    <w:rsid w:val="50E14B0F"/>
    <w:rsid w:val="510646AB"/>
    <w:rsid w:val="512E33FC"/>
    <w:rsid w:val="51331174"/>
    <w:rsid w:val="514B2BC8"/>
    <w:rsid w:val="51752B27"/>
    <w:rsid w:val="51803574"/>
    <w:rsid w:val="51A510BD"/>
    <w:rsid w:val="51C73A49"/>
    <w:rsid w:val="51CC3028"/>
    <w:rsid w:val="51D64B35"/>
    <w:rsid w:val="51E677D2"/>
    <w:rsid w:val="520135A0"/>
    <w:rsid w:val="52157E66"/>
    <w:rsid w:val="522A4882"/>
    <w:rsid w:val="52343766"/>
    <w:rsid w:val="52395D1A"/>
    <w:rsid w:val="52495D62"/>
    <w:rsid w:val="528D5C4E"/>
    <w:rsid w:val="52A664C0"/>
    <w:rsid w:val="52E141EC"/>
    <w:rsid w:val="52E5672C"/>
    <w:rsid w:val="52F55D10"/>
    <w:rsid w:val="532128C6"/>
    <w:rsid w:val="53344F9A"/>
    <w:rsid w:val="53426F62"/>
    <w:rsid w:val="534839E9"/>
    <w:rsid w:val="53685C36"/>
    <w:rsid w:val="536962F2"/>
    <w:rsid w:val="536C32DA"/>
    <w:rsid w:val="53714FD6"/>
    <w:rsid w:val="537E4147"/>
    <w:rsid w:val="53D94361"/>
    <w:rsid w:val="53DE7E32"/>
    <w:rsid w:val="54077C82"/>
    <w:rsid w:val="54436F06"/>
    <w:rsid w:val="5448385D"/>
    <w:rsid w:val="544B7B6F"/>
    <w:rsid w:val="546D0F07"/>
    <w:rsid w:val="547A48F8"/>
    <w:rsid w:val="54863E79"/>
    <w:rsid w:val="549A0AF6"/>
    <w:rsid w:val="54AA53FA"/>
    <w:rsid w:val="54B55507"/>
    <w:rsid w:val="54C11DE5"/>
    <w:rsid w:val="54E76163"/>
    <w:rsid w:val="54EB3332"/>
    <w:rsid w:val="551E34D6"/>
    <w:rsid w:val="55644B16"/>
    <w:rsid w:val="55806255"/>
    <w:rsid w:val="55A50791"/>
    <w:rsid w:val="55A5225D"/>
    <w:rsid w:val="56102E1E"/>
    <w:rsid w:val="56450718"/>
    <w:rsid w:val="56506BE6"/>
    <w:rsid w:val="566309FC"/>
    <w:rsid w:val="566635E3"/>
    <w:rsid w:val="566E268D"/>
    <w:rsid w:val="567217FF"/>
    <w:rsid w:val="568F1CA1"/>
    <w:rsid w:val="56AF4507"/>
    <w:rsid w:val="56B5634D"/>
    <w:rsid w:val="56B7121B"/>
    <w:rsid w:val="56EB5639"/>
    <w:rsid w:val="5708718A"/>
    <w:rsid w:val="57090491"/>
    <w:rsid w:val="572A598A"/>
    <w:rsid w:val="57B9112C"/>
    <w:rsid w:val="57BA541D"/>
    <w:rsid w:val="57BF6D96"/>
    <w:rsid w:val="57CA6A87"/>
    <w:rsid w:val="57CD10B2"/>
    <w:rsid w:val="57DD1071"/>
    <w:rsid w:val="57DD1D5E"/>
    <w:rsid w:val="57F94BDE"/>
    <w:rsid w:val="57FD73D2"/>
    <w:rsid w:val="58003CBB"/>
    <w:rsid w:val="58264B69"/>
    <w:rsid w:val="58514D32"/>
    <w:rsid w:val="58652558"/>
    <w:rsid w:val="58845D45"/>
    <w:rsid w:val="589360EC"/>
    <w:rsid w:val="589E5539"/>
    <w:rsid w:val="58C46B99"/>
    <w:rsid w:val="58C91D3B"/>
    <w:rsid w:val="58D36726"/>
    <w:rsid w:val="58E46ADA"/>
    <w:rsid w:val="58F41FF2"/>
    <w:rsid w:val="590020C0"/>
    <w:rsid w:val="593E43BD"/>
    <w:rsid w:val="594D5125"/>
    <w:rsid w:val="594F3929"/>
    <w:rsid w:val="595A2602"/>
    <w:rsid w:val="595D6539"/>
    <w:rsid w:val="598B7444"/>
    <w:rsid w:val="59B166C6"/>
    <w:rsid w:val="59B40DF7"/>
    <w:rsid w:val="59D4173A"/>
    <w:rsid w:val="59D77EA6"/>
    <w:rsid w:val="5A1C3816"/>
    <w:rsid w:val="5A7476F4"/>
    <w:rsid w:val="5A965EC8"/>
    <w:rsid w:val="5AA20184"/>
    <w:rsid w:val="5AD24535"/>
    <w:rsid w:val="5ADF3707"/>
    <w:rsid w:val="5B0A2ABB"/>
    <w:rsid w:val="5B182706"/>
    <w:rsid w:val="5B1A65A9"/>
    <w:rsid w:val="5B262069"/>
    <w:rsid w:val="5B45291A"/>
    <w:rsid w:val="5B605AB6"/>
    <w:rsid w:val="5BA358DB"/>
    <w:rsid w:val="5BD022C1"/>
    <w:rsid w:val="5BD15C34"/>
    <w:rsid w:val="5BD6307A"/>
    <w:rsid w:val="5C06401B"/>
    <w:rsid w:val="5C064602"/>
    <w:rsid w:val="5C3C798A"/>
    <w:rsid w:val="5C474011"/>
    <w:rsid w:val="5C49708A"/>
    <w:rsid w:val="5C533ACC"/>
    <w:rsid w:val="5C622469"/>
    <w:rsid w:val="5C8207EE"/>
    <w:rsid w:val="5C994124"/>
    <w:rsid w:val="5CA60783"/>
    <w:rsid w:val="5CEB7C62"/>
    <w:rsid w:val="5D3A4CF9"/>
    <w:rsid w:val="5D6E6E25"/>
    <w:rsid w:val="5DA70730"/>
    <w:rsid w:val="5DCB29EF"/>
    <w:rsid w:val="5DE71F1E"/>
    <w:rsid w:val="5DFB2606"/>
    <w:rsid w:val="5E070FAB"/>
    <w:rsid w:val="5E203E1A"/>
    <w:rsid w:val="5E706783"/>
    <w:rsid w:val="5E821385"/>
    <w:rsid w:val="5E862BD9"/>
    <w:rsid w:val="5EC86368"/>
    <w:rsid w:val="5ED27765"/>
    <w:rsid w:val="5EDE4C85"/>
    <w:rsid w:val="5EE720EA"/>
    <w:rsid w:val="5EF07C91"/>
    <w:rsid w:val="5F136B97"/>
    <w:rsid w:val="5F200EF2"/>
    <w:rsid w:val="5F211695"/>
    <w:rsid w:val="5F2E217F"/>
    <w:rsid w:val="5F517C91"/>
    <w:rsid w:val="5F546472"/>
    <w:rsid w:val="5F6B1E0A"/>
    <w:rsid w:val="5F7C24E6"/>
    <w:rsid w:val="5F7F18F7"/>
    <w:rsid w:val="5F93686E"/>
    <w:rsid w:val="5F9B5655"/>
    <w:rsid w:val="5FAA6092"/>
    <w:rsid w:val="5FD80C16"/>
    <w:rsid w:val="5FF314D0"/>
    <w:rsid w:val="5FF4730D"/>
    <w:rsid w:val="600B12DB"/>
    <w:rsid w:val="602F4C08"/>
    <w:rsid w:val="60397F5D"/>
    <w:rsid w:val="603C6C0D"/>
    <w:rsid w:val="60634CFE"/>
    <w:rsid w:val="60765787"/>
    <w:rsid w:val="60913C26"/>
    <w:rsid w:val="6094079C"/>
    <w:rsid w:val="60AC1E1C"/>
    <w:rsid w:val="60C45117"/>
    <w:rsid w:val="60CC1559"/>
    <w:rsid w:val="60E0062C"/>
    <w:rsid w:val="611364AF"/>
    <w:rsid w:val="612358BE"/>
    <w:rsid w:val="61251748"/>
    <w:rsid w:val="612C3E65"/>
    <w:rsid w:val="618E553F"/>
    <w:rsid w:val="61BC5749"/>
    <w:rsid w:val="61BD3AAA"/>
    <w:rsid w:val="61CF38E4"/>
    <w:rsid w:val="620F0646"/>
    <w:rsid w:val="622F0645"/>
    <w:rsid w:val="62B62F9F"/>
    <w:rsid w:val="62BD246D"/>
    <w:rsid w:val="62D05084"/>
    <w:rsid w:val="62DB6B4E"/>
    <w:rsid w:val="62F0652F"/>
    <w:rsid w:val="62F373CD"/>
    <w:rsid w:val="630533DB"/>
    <w:rsid w:val="630F445E"/>
    <w:rsid w:val="63165FF6"/>
    <w:rsid w:val="635A00AC"/>
    <w:rsid w:val="63622A70"/>
    <w:rsid w:val="63A92E6B"/>
    <w:rsid w:val="63B33804"/>
    <w:rsid w:val="63BD51C3"/>
    <w:rsid w:val="63BE04BA"/>
    <w:rsid w:val="63C91DEA"/>
    <w:rsid w:val="63D54DCA"/>
    <w:rsid w:val="64050094"/>
    <w:rsid w:val="64070A4D"/>
    <w:rsid w:val="642D69DC"/>
    <w:rsid w:val="642E6B65"/>
    <w:rsid w:val="6453540E"/>
    <w:rsid w:val="64AD6277"/>
    <w:rsid w:val="64AD6CF5"/>
    <w:rsid w:val="64B242FB"/>
    <w:rsid w:val="64B93FC8"/>
    <w:rsid w:val="64CF7255"/>
    <w:rsid w:val="64E64E90"/>
    <w:rsid w:val="64FA4B2A"/>
    <w:rsid w:val="651844F4"/>
    <w:rsid w:val="65220575"/>
    <w:rsid w:val="653B6108"/>
    <w:rsid w:val="655A40B6"/>
    <w:rsid w:val="656767D3"/>
    <w:rsid w:val="65681DE2"/>
    <w:rsid w:val="65A700A4"/>
    <w:rsid w:val="660E746C"/>
    <w:rsid w:val="66266ED4"/>
    <w:rsid w:val="66331E21"/>
    <w:rsid w:val="66346799"/>
    <w:rsid w:val="664C6517"/>
    <w:rsid w:val="666643E3"/>
    <w:rsid w:val="667963F4"/>
    <w:rsid w:val="669D53CD"/>
    <w:rsid w:val="66C92085"/>
    <w:rsid w:val="66E207EB"/>
    <w:rsid w:val="66EF76BD"/>
    <w:rsid w:val="673D311F"/>
    <w:rsid w:val="676239E8"/>
    <w:rsid w:val="6763349B"/>
    <w:rsid w:val="67772492"/>
    <w:rsid w:val="67801104"/>
    <w:rsid w:val="67867885"/>
    <w:rsid w:val="678B6510"/>
    <w:rsid w:val="67B94F6D"/>
    <w:rsid w:val="67CD7D33"/>
    <w:rsid w:val="67DA3E2F"/>
    <w:rsid w:val="67E52301"/>
    <w:rsid w:val="68096B78"/>
    <w:rsid w:val="68103495"/>
    <w:rsid w:val="68165A21"/>
    <w:rsid w:val="682A7CEC"/>
    <w:rsid w:val="682E06FF"/>
    <w:rsid w:val="6842721E"/>
    <w:rsid w:val="685A261F"/>
    <w:rsid w:val="6866487F"/>
    <w:rsid w:val="688D08E1"/>
    <w:rsid w:val="68AB7464"/>
    <w:rsid w:val="68C36656"/>
    <w:rsid w:val="68DF6A83"/>
    <w:rsid w:val="69122B29"/>
    <w:rsid w:val="69450B30"/>
    <w:rsid w:val="695845D4"/>
    <w:rsid w:val="69727C49"/>
    <w:rsid w:val="69F1164C"/>
    <w:rsid w:val="69F901DD"/>
    <w:rsid w:val="6A1B6F7F"/>
    <w:rsid w:val="6A245815"/>
    <w:rsid w:val="6A50275D"/>
    <w:rsid w:val="6A7E67B9"/>
    <w:rsid w:val="6A84567E"/>
    <w:rsid w:val="6A9D3D8A"/>
    <w:rsid w:val="6AB745EA"/>
    <w:rsid w:val="6ACF1456"/>
    <w:rsid w:val="6AD22B91"/>
    <w:rsid w:val="6AEA0D00"/>
    <w:rsid w:val="6AF363CB"/>
    <w:rsid w:val="6B0B1692"/>
    <w:rsid w:val="6B1A02CD"/>
    <w:rsid w:val="6B307DC7"/>
    <w:rsid w:val="6B702AF5"/>
    <w:rsid w:val="6B811020"/>
    <w:rsid w:val="6BB830BE"/>
    <w:rsid w:val="6BC10866"/>
    <w:rsid w:val="6BC93462"/>
    <w:rsid w:val="6BFE36B0"/>
    <w:rsid w:val="6C0309FB"/>
    <w:rsid w:val="6C0477F6"/>
    <w:rsid w:val="6C253C21"/>
    <w:rsid w:val="6C445EAF"/>
    <w:rsid w:val="6C636971"/>
    <w:rsid w:val="6C743398"/>
    <w:rsid w:val="6C750DF5"/>
    <w:rsid w:val="6C755C79"/>
    <w:rsid w:val="6C890AFA"/>
    <w:rsid w:val="6CC41F6B"/>
    <w:rsid w:val="6CDC1854"/>
    <w:rsid w:val="6D2F3CC2"/>
    <w:rsid w:val="6D303DCD"/>
    <w:rsid w:val="6D373CE4"/>
    <w:rsid w:val="6D3E2288"/>
    <w:rsid w:val="6D5F4FA9"/>
    <w:rsid w:val="6D6E75F8"/>
    <w:rsid w:val="6D862708"/>
    <w:rsid w:val="6D927102"/>
    <w:rsid w:val="6D985A4B"/>
    <w:rsid w:val="6DC01CF5"/>
    <w:rsid w:val="6DC02F24"/>
    <w:rsid w:val="6DCC200B"/>
    <w:rsid w:val="6E0D7EC3"/>
    <w:rsid w:val="6E3F4095"/>
    <w:rsid w:val="6E4451AE"/>
    <w:rsid w:val="6E751F61"/>
    <w:rsid w:val="6E7A2372"/>
    <w:rsid w:val="6E7E5220"/>
    <w:rsid w:val="6E8D6EC8"/>
    <w:rsid w:val="6E950207"/>
    <w:rsid w:val="6E987D24"/>
    <w:rsid w:val="6EC15CB8"/>
    <w:rsid w:val="6EEA4940"/>
    <w:rsid w:val="6EED7945"/>
    <w:rsid w:val="6EFB2A7A"/>
    <w:rsid w:val="6F0F0F55"/>
    <w:rsid w:val="6F3C2815"/>
    <w:rsid w:val="6F637981"/>
    <w:rsid w:val="6F6D0E8A"/>
    <w:rsid w:val="6F723540"/>
    <w:rsid w:val="6F75335F"/>
    <w:rsid w:val="6FC4599D"/>
    <w:rsid w:val="6FD20CED"/>
    <w:rsid w:val="6FDA6DB4"/>
    <w:rsid w:val="6FED19A1"/>
    <w:rsid w:val="6FFB3228"/>
    <w:rsid w:val="6FFF57CB"/>
    <w:rsid w:val="7032115A"/>
    <w:rsid w:val="703673C8"/>
    <w:rsid w:val="704F5C94"/>
    <w:rsid w:val="705E5D7E"/>
    <w:rsid w:val="70915044"/>
    <w:rsid w:val="709452BD"/>
    <w:rsid w:val="70A1703D"/>
    <w:rsid w:val="70A84D4C"/>
    <w:rsid w:val="70AB20B2"/>
    <w:rsid w:val="70E47042"/>
    <w:rsid w:val="70EC4CDE"/>
    <w:rsid w:val="7104581E"/>
    <w:rsid w:val="711331AB"/>
    <w:rsid w:val="71151141"/>
    <w:rsid w:val="711512FD"/>
    <w:rsid w:val="712B4FA6"/>
    <w:rsid w:val="71325EE7"/>
    <w:rsid w:val="71465958"/>
    <w:rsid w:val="71611ABA"/>
    <w:rsid w:val="717951B5"/>
    <w:rsid w:val="71934E17"/>
    <w:rsid w:val="71A1373E"/>
    <w:rsid w:val="71A32824"/>
    <w:rsid w:val="71C013C5"/>
    <w:rsid w:val="71C33626"/>
    <w:rsid w:val="71CB580E"/>
    <w:rsid w:val="71D260B4"/>
    <w:rsid w:val="71DB5D6F"/>
    <w:rsid w:val="71DD78DB"/>
    <w:rsid w:val="72165DE1"/>
    <w:rsid w:val="7218025B"/>
    <w:rsid w:val="72233A82"/>
    <w:rsid w:val="722C40AC"/>
    <w:rsid w:val="72474F1E"/>
    <w:rsid w:val="724B65F8"/>
    <w:rsid w:val="725578E8"/>
    <w:rsid w:val="72671C47"/>
    <w:rsid w:val="726877E8"/>
    <w:rsid w:val="727F01CB"/>
    <w:rsid w:val="72A16523"/>
    <w:rsid w:val="72AF5315"/>
    <w:rsid w:val="72B8066E"/>
    <w:rsid w:val="72CF3433"/>
    <w:rsid w:val="72DC3870"/>
    <w:rsid w:val="73006FCB"/>
    <w:rsid w:val="73047407"/>
    <w:rsid w:val="7346211D"/>
    <w:rsid w:val="73593B14"/>
    <w:rsid w:val="73980993"/>
    <w:rsid w:val="739A5BE8"/>
    <w:rsid w:val="73DC145F"/>
    <w:rsid w:val="73FE63FC"/>
    <w:rsid w:val="740C2831"/>
    <w:rsid w:val="742D6587"/>
    <w:rsid w:val="742F670E"/>
    <w:rsid w:val="7452064E"/>
    <w:rsid w:val="74AB2123"/>
    <w:rsid w:val="74BE2015"/>
    <w:rsid w:val="74DF2F92"/>
    <w:rsid w:val="74FB1F0E"/>
    <w:rsid w:val="75270F24"/>
    <w:rsid w:val="754B04A9"/>
    <w:rsid w:val="75A82C1C"/>
    <w:rsid w:val="75AC49A7"/>
    <w:rsid w:val="75D2592C"/>
    <w:rsid w:val="75D43A11"/>
    <w:rsid w:val="75D947A4"/>
    <w:rsid w:val="75F27F75"/>
    <w:rsid w:val="761B2F9A"/>
    <w:rsid w:val="765014BA"/>
    <w:rsid w:val="766E2CBE"/>
    <w:rsid w:val="7670743F"/>
    <w:rsid w:val="76780CF3"/>
    <w:rsid w:val="768E0063"/>
    <w:rsid w:val="769F403B"/>
    <w:rsid w:val="76CB20AF"/>
    <w:rsid w:val="76CF2B2C"/>
    <w:rsid w:val="771906AE"/>
    <w:rsid w:val="77252563"/>
    <w:rsid w:val="774220CC"/>
    <w:rsid w:val="774C07DA"/>
    <w:rsid w:val="774F6077"/>
    <w:rsid w:val="779A0BA9"/>
    <w:rsid w:val="77BB7826"/>
    <w:rsid w:val="780477F2"/>
    <w:rsid w:val="783206B5"/>
    <w:rsid w:val="78407ECB"/>
    <w:rsid w:val="784D2C9C"/>
    <w:rsid w:val="786855A1"/>
    <w:rsid w:val="78691D22"/>
    <w:rsid w:val="788B2518"/>
    <w:rsid w:val="789B5A59"/>
    <w:rsid w:val="78C45949"/>
    <w:rsid w:val="78CC09CF"/>
    <w:rsid w:val="78DE7342"/>
    <w:rsid w:val="78E12A01"/>
    <w:rsid w:val="78E66A19"/>
    <w:rsid w:val="78F07031"/>
    <w:rsid w:val="78FF6FF6"/>
    <w:rsid w:val="79142663"/>
    <w:rsid w:val="79341EFF"/>
    <w:rsid w:val="79440C2D"/>
    <w:rsid w:val="79646E59"/>
    <w:rsid w:val="79697BC6"/>
    <w:rsid w:val="797C7B8B"/>
    <w:rsid w:val="797F0137"/>
    <w:rsid w:val="79F47A30"/>
    <w:rsid w:val="79FD4106"/>
    <w:rsid w:val="7A070371"/>
    <w:rsid w:val="7A141108"/>
    <w:rsid w:val="7A272C03"/>
    <w:rsid w:val="7A2D58D4"/>
    <w:rsid w:val="7A7518D1"/>
    <w:rsid w:val="7A770312"/>
    <w:rsid w:val="7A7771D5"/>
    <w:rsid w:val="7A8B6F63"/>
    <w:rsid w:val="7A9814B1"/>
    <w:rsid w:val="7AB6672A"/>
    <w:rsid w:val="7AEA2FD4"/>
    <w:rsid w:val="7AEE56CE"/>
    <w:rsid w:val="7AF94127"/>
    <w:rsid w:val="7B310B9A"/>
    <w:rsid w:val="7B4004BD"/>
    <w:rsid w:val="7B430A61"/>
    <w:rsid w:val="7B4C1626"/>
    <w:rsid w:val="7B5B274E"/>
    <w:rsid w:val="7B745B1A"/>
    <w:rsid w:val="7B890C64"/>
    <w:rsid w:val="7B9C2618"/>
    <w:rsid w:val="7B9E3EE7"/>
    <w:rsid w:val="7BA428F4"/>
    <w:rsid w:val="7BE8269D"/>
    <w:rsid w:val="7BFC3546"/>
    <w:rsid w:val="7C0F5B69"/>
    <w:rsid w:val="7C324FED"/>
    <w:rsid w:val="7C376FE4"/>
    <w:rsid w:val="7C700DB2"/>
    <w:rsid w:val="7CAC03ED"/>
    <w:rsid w:val="7CE33E02"/>
    <w:rsid w:val="7CF35FC2"/>
    <w:rsid w:val="7CF36BAF"/>
    <w:rsid w:val="7D1D4FBB"/>
    <w:rsid w:val="7D271774"/>
    <w:rsid w:val="7D47114E"/>
    <w:rsid w:val="7D584F27"/>
    <w:rsid w:val="7D5A0743"/>
    <w:rsid w:val="7D7C721D"/>
    <w:rsid w:val="7D854588"/>
    <w:rsid w:val="7D8B3FE4"/>
    <w:rsid w:val="7DBB5092"/>
    <w:rsid w:val="7DD5299C"/>
    <w:rsid w:val="7DE54B74"/>
    <w:rsid w:val="7DE91447"/>
    <w:rsid w:val="7DF94B42"/>
    <w:rsid w:val="7E3C1C7B"/>
    <w:rsid w:val="7E5E68F9"/>
    <w:rsid w:val="7E5F5E41"/>
    <w:rsid w:val="7E632BCC"/>
    <w:rsid w:val="7E6F3B0D"/>
    <w:rsid w:val="7EA810CD"/>
    <w:rsid w:val="7ED0427F"/>
    <w:rsid w:val="7ED45983"/>
    <w:rsid w:val="7EEC1AE0"/>
    <w:rsid w:val="7EFC4444"/>
    <w:rsid w:val="7F057DB9"/>
    <w:rsid w:val="7F060803"/>
    <w:rsid w:val="7F2F1CB8"/>
    <w:rsid w:val="7F325A24"/>
    <w:rsid w:val="7F373A7F"/>
    <w:rsid w:val="7F3B0F2F"/>
    <w:rsid w:val="7F3D1782"/>
    <w:rsid w:val="7F47533B"/>
    <w:rsid w:val="7F5F40FF"/>
    <w:rsid w:val="7F8F6BFA"/>
    <w:rsid w:val="7F901723"/>
    <w:rsid w:val="7FA9198F"/>
    <w:rsid w:val="7FC73326"/>
    <w:rsid w:val="7FEB252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0" w:semiHidden="0" w:name="toc 1"/>
    <w:lsdException w:qFormat="1"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qFormat="1" w:unhideWhenUsed="0" w:uiPriority="0" w:semiHidden="0" w:name="annotation text"/>
    <w:lsdException w:qFormat="1" w:uiPriority="99" w:semiHidden="0" w:name="header"/>
    <w:lsdException w:qFormat="1"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qFormat="1"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qFormat="1" w:unhideWhenUsed="0" w:uiPriority="0" w:semiHidden="0" w:name="Date"/>
    <w:lsdException w:unhideWhenUsed="0" w:uiPriority="0" w:semiHidden="0" w:name="Body Text First Indent"/>
    <w:lsdException w:qFormat="1" w:uiPriority="99" w:semiHidden="0" w:name="Body Text First Indent 2"/>
    <w:lsdException w:unhideWhenUsed="0" w:uiPriority="0" w:semiHidden="0" w:name="Note Heading"/>
    <w:lsdException w:qFormat="1"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99" w:semiHidden="0" w:name="Hyperlink"/>
    <w:lsdException w:qFormat="1"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qFormat="1" w:unhideWhenUsed="0" w:uiPriority="0" w:semiHidden="0" w:name="Normal (Web)"/>
    <w:lsdException w:qFormat="1" w:unhideWhenUsed="0" w:uiPriority="0" w:semiHidden="0" w:name="HTML Acronym"/>
    <w:lsdException w:unhideWhenUsed="0" w:uiPriority="0" w:semiHidden="0" w:name="HTML Address"/>
    <w:lsdException w:qFormat="1" w:unhideWhenUsed="0" w:uiPriority="0" w:semiHidden="0" w:name="HTML Cite"/>
    <w:lsdException w:qFormat="1" w:unhideWhenUsed="0" w:uiPriority="0" w:semiHidden="0" w:name="HTML Code"/>
    <w:lsdException w:qFormat="1" w:unhideWhenUsed="0" w:uiPriority="0" w:semiHidden="0" w:name="HTML Definition"/>
    <w:lsdException w:qFormat="1" w:unhideWhenUsed="0" w:uiPriority="0" w:semiHidden="0" w:name="HTML Keyboard"/>
    <w:lsdException w:unhideWhenUsed="0" w:uiPriority="0" w:semiHidden="0" w:name="HTML Preformatted"/>
    <w:lsdException w:qFormat="1" w:unhideWhenUsed="0" w:uiPriority="0" w:semiHidden="0" w:name="HTML Sample"/>
    <w:lsdException w:qFormat="1" w:unhideWhenUsed="0" w:uiPriority="0" w:semiHidden="0" w:name="HTML Typewriter"/>
    <w:lsdException w:qFormat="1" w:unhideWhenUsed="0" w:uiPriority="0" w:semiHidden="0" w:name="HTML Variable"/>
    <w:lsdException w:qFormat="1" w:uiPriority="99" w:name="Normal Table"/>
    <w:lsdException w:qFormat="1"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qFormat="1" w:unhideWhenUsed="0" w:uiPriority="0" w:semiHidden="0" w:name="Balloon Text"/>
    <w:lsdException w:qFormat="1" w:unhideWhenUsed="0" w:uiPriority="39" w:semiHidden="0" w:name="Table Grid"/>
    <w:lsdException w:uiPriority="0" w:name="Table Theme"/>
    <w:lsdException w:qFormat="1" w:unhideWhenUsed="0" w:uiPriority="1" w:semiHidden="0" w:name="No Spacing"/>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0"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imes New Roman" w:hAnsi="Times New Roman" w:eastAsia="宋体" w:cs="Times New Roman"/>
      <w:kern w:val="2"/>
      <w:sz w:val="21"/>
      <w:lang w:val="en-US" w:eastAsia="zh-CN" w:bidi="ar-SA"/>
    </w:rPr>
  </w:style>
  <w:style w:type="paragraph" w:styleId="2">
    <w:name w:val="heading 1"/>
    <w:basedOn w:val="1"/>
    <w:next w:val="1"/>
    <w:link w:val="79"/>
    <w:autoRedefine/>
    <w:qFormat/>
    <w:uiPriority w:val="0"/>
    <w:pPr>
      <w:keepNext/>
      <w:keepLines/>
      <w:spacing w:line="360" w:lineRule="auto"/>
      <w:jc w:val="center"/>
      <w:outlineLvl w:val="0"/>
    </w:pPr>
    <w:rPr>
      <w:b/>
      <w:kern w:val="44"/>
      <w:sz w:val="28"/>
    </w:rPr>
  </w:style>
  <w:style w:type="paragraph" w:styleId="3">
    <w:name w:val="heading 2"/>
    <w:basedOn w:val="1"/>
    <w:next w:val="1"/>
    <w:autoRedefine/>
    <w:qFormat/>
    <w:uiPriority w:val="0"/>
    <w:pPr>
      <w:keepNext/>
      <w:keepLines/>
      <w:spacing w:before="260" w:after="260" w:line="416" w:lineRule="auto"/>
      <w:outlineLvl w:val="1"/>
    </w:pPr>
    <w:rPr>
      <w:rFonts w:ascii="Arial" w:hAnsi="Arial" w:eastAsia="黑体"/>
      <w:b/>
      <w:bCs/>
      <w:sz w:val="32"/>
      <w:szCs w:val="32"/>
    </w:rPr>
  </w:style>
  <w:style w:type="paragraph" w:styleId="4">
    <w:name w:val="heading 3"/>
    <w:basedOn w:val="1"/>
    <w:next w:val="1"/>
    <w:autoRedefine/>
    <w:qFormat/>
    <w:uiPriority w:val="0"/>
    <w:pPr>
      <w:keepNext/>
      <w:keepLines/>
      <w:spacing w:before="260" w:after="260" w:line="413" w:lineRule="auto"/>
      <w:outlineLvl w:val="2"/>
    </w:pPr>
    <w:rPr>
      <w:b/>
      <w:sz w:val="32"/>
    </w:rPr>
  </w:style>
  <w:style w:type="character" w:default="1" w:styleId="23">
    <w:name w:val="Default Paragraph Font"/>
    <w:semiHidden/>
    <w:unhideWhenUsed/>
    <w:qFormat/>
    <w:uiPriority w:val="1"/>
  </w:style>
  <w:style w:type="table" w:default="1" w:styleId="21">
    <w:name w:val="Normal Table"/>
    <w:semiHidden/>
    <w:unhideWhenUsed/>
    <w:qFormat/>
    <w:uiPriority w:val="99"/>
    <w:tblPr>
      <w:tblCellMar>
        <w:top w:w="0" w:type="dxa"/>
        <w:left w:w="108" w:type="dxa"/>
        <w:bottom w:w="0" w:type="dxa"/>
        <w:right w:w="108" w:type="dxa"/>
      </w:tblCellMar>
    </w:tblPr>
  </w:style>
  <w:style w:type="paragraph" w:styleId="5">
    <w:name w:val="Normal Indent"/>
    <w:basedOn w:val="1"/>
    <w:autoRedefine/>
    <w:qFormat/>
    <w:uiPriority w:val="0"/>
    <w:pPr>
      <w:ind w:firstLine="420" w:firstLineChars="200"/>
    </w:pPr>
  </w:style>
  <w:style w:type="paragraph" w:styleId="6">
    <w:name w:val="annotation text"/>
    <w:basedOn w:val="1"/>
    <w:link w:val="81"/>
    <w:autoRedefine/>
    <w:qFormat/>
    <w:uiPriority w:val="0"/>
    <w:pPr>
      <w:jc w:val="left"/>
    </w:pPr>
  </w:style>
  <w:style w:type="paragraph" w:styleId="7">
    <w:name w:val="Body Text"/>
    <w:basedOn w:val="1"/>
    <w:next w:val="8"/>
    <w:autoRedefine/>
    <w:qFormat/>
    <w:uiPriority w:val="0"/>
    <w:pPr>
      <w:spacing w:after="120"/>
    </w:pPr>
  </w:style>
  <w:style w:type="paragraph" w:styleId="8">
    <w:name w:val="Date"/>
    <w:basedOn w:val="1"/>
    <w:next w:val="1"/>
    <w:autoRedefine/>
    <w:qFormat/>
    <w:uiPriority w:val="0"/>
    <w:pPr>
      <w:ind w:left="100" w:leftChars="2500"/>
    </w:pPr>
    <w:rPr>
      <w:sz w:val="36"/>
    </w:rPr>
  </w:style>
  <w:style w:type="paragraph" w:styleId="9">
    <w:name w:val="Body Text Indent"/>
    <w:basedOn w:val="1"/>
    <w:autoRedefine/>
    <w:qFormat/>
    <w:uiPriority w:val="0"/>
    <w:pPr>
      <w:spacing w:after="120"/>
      <w:ind w:left="420" w:leftChars="200"/>
    </w:pPr>
    <w:rPr>
      <w:kern w:val="0"/>
      <w:sz w:val="20"/>
    </w:rPr>
  </w:style>
  <w:style w:type="paragraph" w:styleId="10">
    <w:name w:val="Plain Text"/>
    <w:basedOn w:val="1"/>
    <w:next w:val="1"/>
    <w:autoRedefine/>
    <w:qFormat/>
    <w:uiPriority w:val="0"/>
    <w:rPr>
      <w:rFonts w:ascii="宋体" w:hAnsi="Courier New"/>
      <w:szCs w:val="22"/>
    </w:rPr>
  </w:style>
  <w:style w:type="paragraph" w:styleId="11">
    <w:name w:val="Balloon Text"/>
    <w:basedOn w:val="1"/>
    <w:link w:val="60"/>
    <w:autoRedefine/>
    <w:qFormat/>
    <w:uiPriority w:val="0"/>
    <w:rPr>
      <w:sz w:val="18"/>
      <w:szCs w:val="18"/>
    </w:rPr>
  </w:style>
  <w:style w:type="paragraph" w:styleId="12">
    <w:name w:val="footer"/>
    <w:basedOn w:val="1"/>
    <w:autoRedefine/>
    <w:unhideWhenUsed/>
    <w:qFormat/>
    <w:uiPriority w:val="99"/>
    <w:pPr>
      <w:tabs>
        <w:tab w:val="center" w:pos="4153"/>
        <w:tab w:val="right" w:pos="8306"/>
      </w:tabs>
      <w:snapToGrid w:val="0"/>
      <w:jc w:val="left"/>
    </w:pPr>
    <w:rPr>
      <w:sz w:val="18"/>
      <w:szCs w:val="18"/>
    </w:rPr>
  </w:style>
  <w:style w:type="paragraph" w:styleId="13">
    <w:name w:val="header"/>
    <w:basedOn w:val="1"/>
    <w:autoRedefine/>
    <w:unhideWhenUsed/>
    <w:qFormat/>
    <w:uiPriority w:val="99"/>
    <w:pPr>
      <w:pBdr>
        <w:bottom w:val="single" w:color="auto" w:sz="6" w:space="1"/>
      </w:pBdr>
      <w:tabs>
        <w:tab w:val="center" w:pos="4153"/>
        <w:tab w:val="right" w:pos="8306"/>
      </w:tabs>
      <w:snapToGrid w:val="0"/>
      <w:jc w:val="center"/>
    </w:pPr>
    <w:rPr>
      <w:sz w:val="18"/>
      <w:szCs w:val="18"/>
    </w:rPr>
  </w:style>
  <w:style w:type="paragraph" w:styleId="14">
    <w:name w:val="toc 1"/>
    <w:basedOn w:val="1"/>
    <w:next w:val="1"/>
    <w:autoRedefine/>
    <w:qFormat/>
    <w:uiPriority w:val="0"/>
  </w:style>
  <w:style w:type="paragraph" w:styleId="15">
    <w:name w:val="toc 2"/>
    <w:basedOn w:val="1"/>
    <w:next w:val="1"/>
    <w:autoRedefine/>
    <w:qFormat/>
    <w:uiPriority w:val="0"/>
    <w:pPr>
      <w:ind w:left="420" w:leftChars="200"/>
    </w:pPr>
  </w:style>
  <w:style w:type="paragraph" w:styleId="16">
    <w:name w:val="Body Text 2"/>
    <w:basedOn w:val="1"/>
    <w:autoRedefine/>
    <w:qFormat/>
    <w:uiPriority w:val="0"/>
    <w:pPr>
      <w:spacing w:after="120" w:line="480" w:lineRule="auto"/>
    </w:pPr>
    <w:rPr>
      <w:kern w:val="1"/>
      <w:szCs w:val="24"/>
      <w:lang w:eastAsia="ar-SA"/>
    </w:rPr>
  </w:style>
  <w:style w:type="paragraph" w:styleId="17">
    <w:name w:val="Normal (Web)"/>
    <w:basedOn w:val="1"/>
    <w:autoRedefine/>
    <w:qFormat/>
    <w:uiPriority w:val="0"/>
    <w:pPr>
      <w:jc w:val="left"/>
    </w:pPr>
    <w:rPr>
      <w:kern w:val="0"/>
      <w:sz w:val="24"/>
    </w:rPr>
  </w:style>
  <w:style w:type="paragraph" w:styleId="18">
    <w:name w:val="Title"/>
    <w:basedOn w:val="1"/>
    <w:next w:val="1"/>
    <w:autoRedefine/>
    <w:qFormat/>
    <w:uiPriority w:val="0"/>
    <w:pPr>
      <w:widowControl/>
      <w:spacing w:before="240" w:after="60"/>
      <w:jc w:val="center"/>
      <w:outlineLvl w:val="0"/>
    </w:pPr>
    <w:rPr>
      <w:rFonts w:ascii="Arial" w:hAnsi="Arial" w:cs="Arial"/>
      <w:b/>
      <w:bCs/>
      <w:kern w:val="0"/>
      <w:sz w:val="44"/>
      <w:szCs w:val="32"/>
    </w:rPr>
  </w:style>
  <w:style w:type="paragraph" w:styleId="19">
    <w:name w:val="annotation subject"/>
    <w:basedOn w:val="6"/>
    <w:next w:val="6"/>
    <w:link w:val="82"/>
    <w:qFormat/>
    <w:uiPriority w:val="0"/>
    <w:rPr>
      <w:b/>
      <w:bCs/>
    </w:rPr>
  </w:style>
  <w:style w:type="paragraph" w:styleId="20">
    <w:name w:val="Body Text First Indent 2"/>
    <w:basedOn w:val="9"/>
    <w:autoRedefine/>
    <w:unhideWhenUsed/>
    <w:qFormat/>
    <w:uiPriority w:val="99"/>
    <w:pPr>
      <w:ind w:firstLine="420" w:firstLineChars="200"/>
    </w:pPr>
    <w:rPr>
      <w:rFonts w:eastAsia="仿宋_GB2312"/>
      <w:sz w:val="32"/>
      <w:szCs w:val="24"/>
    </w:rPr>
  </w:style>
  <w:style w:type="table" w:styleId="22">
    <w:name w:val="Table Grid"/>
    <w:basedOn w:val="21"/>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24">
    <w:name w:val="Strong"/>
    <w:basedOn w:val="23"/>
    <w:autoRedefine/>
    <w:qFormat/>
    <w:uiPriority w:val="0"/>
    <w:rPr>
      <w:b/>
      <w:vanish/>
    </w:rPr>
  </w:style>
  <w:style w:type="character" w:styleId="25">
    <w:name w:val="page number"/>
    <w:basedOn w:val="23"/>
    <w:autoRedefine/>
    <w:qFormat/>
    <w:uiPriority w:val="0"/>
  </w:style>
  <w:style w:type="character" w:styleId="26">
    <w:name w:val="FollowedHyperlink"/>
    <w:basedOn w:val="23"/>
    <w:autoRedefine/>
    <w:qFormat/>
    <w:uiPriority w:val="0"/>
    <w:rPr>
      <w:color w:val="333333"/>
      <w:u w:val="none"/>
    </w:rPr>
  </w:style>
  <w:style w:type="character" w:styleId="27">
    <w:name w:val="Emphasis"/>
    <w:basedOn w:val="23"/>
    <w:autoRedefine/>
    <w:qFormat/>
    <w:uiPriority w:val="0"/>
    <w:rPr>
      <w:b/>
    </w:rPr>
  </w:style>
  <w:style w:type="character" w:styleId="28">
    <w:name w:val="HTML Definition"/>
    <w:basedOn w:val="23"/>
    <w:autoRedefine/>
    <w:qFormat/>
    <w:uiPriority w:val="0"/>
  </w:style>
  <w:style w:type="character" w:styleId="29">
    <w:name w:val="HTML Typewriter"/>
    <w:basedOn w:val="23"/>
    <w:autoRedefine/>
    <w:qFormat/>
    <w:uiPriority w:val="0"/>
    <w:rPr>
      <w:rFonts w:ascii="monospace" w:hAnsi="monospace" w:eastAsia="monospace" w:cs="monospace"/>
      <w:sz w:val="20"/>
    </w:rPr>
  </w:style>
  <w:style w:type="character" w:styleId="30">
    <w:name w:val="HTML Acronym"/>
    <w:basedOn w:val="23"/>
    <w:autoRedefine/>
    <w:qFormat/>
    <w:uiPriority w:val="0"/>
  </w:style>
  <w:style w:type="character" w:styleId="31">
    <w:name w:val="HTML Variable"/>
    <w:basedOn w:val="23"/>
    <w:autoRedefine/>
    <w:qFormat/>
    <w:uiPriority w:val="0"/>
  </w:style>
  <w:style w:type="character" w:styleId="32">
    <w:name w:val="Hyperlink"/>
    <w:basedOn w:val="23"/>
    <w:autoRedefine/>
    <w:qFormat/>
    <w:uiPriority w:val="99"/>
    <w:rPr>
      <w:color w:val="0000FF"/>
      <w:u w:val="single"/>
    </w:rPr>
  </w:style>
  <w:style w:type="character" w:styleId="33">
    <w:name w:val="HTML Code"/>
    <w:basedOn w:val="23"/>
    <w:autoRedefine/>
    <w:qFormat/>
    <w:uiPriority w:val="0"/>
    <w:rPr>
      <w:rFonts w:hint="default" w:ascii="monospace" w:hAnsi="monospace" w:eastAsia="monospace" w:cs="monospace"/>
      <w:sz w:val="20"/>
    </w:rPr>
  </w:style>
  <w:style w:type="character" w:styleId="34">
    <w:name w:val="annotation reference"/>
    <w:basedOn w:val="23"/>
    <w:autoRedefine/>
    <w:qFormat/>
    <w:uiPriority w:val="0"/>
    <w:rPr>
      <w:sz w:val="21"/>
      <w:szCs w:val="21"/>
    </w:rPr>
  </w:style>
  <w:style w:type="character" w:styleId="35">
    <w:name w:val="HTML Cite"/>
    <w:basedOn w:val="23"/>
    <w:autoRedefine/>
    <w:qFormat/>
    <w:uiPriority w:val="0"/>
  </w:style>
  <w:style w:type="character" w:styleId="36">
    <w:name w:val="HTML Keyboard"/>
    <w:basedOn w:val="23"/>
    <w:autoRedefine/>
    <w:qFormat/>
    <w:uiPriority w:val="0"/>
    <w:rPr>
      <w:rFonts w:hint="default" w:ascii="monospace" w:hAnsi="monospace" w:eastAsia="monospace" w:cs="monospace"/>
      <w:sz w:val="20"/>
    </w:rPr>
  </w:style>
  <w:style w:type="character" w:styleId="37">
    <w:name w:val="HTML Sample"/>
    <w:basedOn w:val="23"/>
    <w:autoRedefine/>
    <w:qFormat/>
    <w:uiPriority w:val="0"/>
    <w:rPr>
      <w:rFonts w:hint="default" w:ascii="monospace" w:hAnsi="monospace" w:eastAsia="monospace" w:cs="monospace"/>
    </w:rPr>
  </w:style>
  <w:style w:type="paragraph" w:customStyle="1" w:styleId="38">
    <w:name w:val="_Style 3"/>
    <w:autoRedefine/>
    <w:qFormat/>
    <w:uiPriority w:val="1"/>
    <w:pPr>
      <w:widowControl w:val="0"/>
      <w:jc w:val="both"/>
    </w:pPr>
    <w:rPr>
      <w:rFonts w:ascii="Times New Roman" w:hAnsi="Times New Roman" w:eastAsia="宋体" w:cs="Times New Roman"/>
      <w:kern w:val="2"/>
      <w:sz w:val="21"/>
      <w:szCs w:val="22"/>
      <w:lang w:val="en-US" w:eastAsia="zh-CN" w:bidi="ar-SA"/>
    </w:rPr>
  </w:style>
  <w:style w:type="paragraph" w:customStyle="1" w:styleId="39">
    <w:name w:val="列出段落1"/>
    <w:basedOn w:val="1"/>
    <w:autoRedefine/>
    <w:qFormat/>
    <w:uiPriority w:val="0"/>
    <w:pPr>
      <w:ind w:firstLine="420" w:firstLineChars="200"/>
    </w:pPr>
    <w:rPr>
      <w:rFonts w:ascii="Calibri" w:hAnsi="Calibri"/>
      <w:szCs w:val="22"/>
    </w:rPr>
  </w:style>
  <w:style w:type="paragraph" w:customStyle="1" w:styleId="40">
    <w:name w:val="Table Paragraph"/>
    <w:basedOn w:val="1"/>
    <w:autoRedefine/>
    <w:qFormat/>
    <w:uiPriority w:val="1"/>
    <w:pPr>
      <w:ind w:left="8"/>
      <w:jc w:val="center"/>
    </w:pPr>
  </w:style>
  <w:style w:type="character" w:customStyle="1" w:styleId="41">
    <w:name w:val="font11"/>
    <w:basedOn w:val="23"/>
    <w:autoRedefine/>
    <w:qFormat/>
    <w:uiPriority w:val="0"/>
    <w:rPr>
      <w:rFonts w:hint="eastAsia" w:ascii="宋体" w:hAnsi="宋体" w:eastAsia="宋体" w:cs="宋体"/>
      <w:color w:val="000000"/>
      <w:sz w:val="22"/>
      <w:szCs w:val="22"/>
      <w:u w:val="none"/>
    </w:rPr>
  </w:style>
  <w:style w:type="paragraph" w:styleId="42">
    <w:name w:val="List Paragraph"/>
    <w:basedOn w:val="1"/>
    <w:autoRedefine/>
    <w:qFormat/>
    <w:uiPriority w:val="0"/>
    <w:pPr>
      <w:ind w:firstLine="420" w:firstLineChars="200"/>
    </w:pPr>
    <w:rPr>
      <w:sz w:val="36"/>
    </w:rPr>
  </w:style>
  <w:style w:type="character" w:customStyle="1" w:styleId="43">
    <w:name w:val="layui-laypage-curr"/>
    <w:basedOn w:val="23"/>
    <w:autoRedefine/>
    <w:qFormat/>
    <w:uiPriority w:val="0"/>
  </w:style>
  <w:style w:type="character" w:customStyle="1" w:styleId="44">
    <w:name w:val="font51"/>
    <w:basedOn w:val="23"/>
    <w:autoRedefine/>
    <w:qFormat/>
    <w:uiPriority w:val="0"/>
    <w:rPr>
      <w:rFonts w:hint="default" w:ascii="Arial" w:hAnsi="Arial" w:cs="Arial"/>
      <w:color w:val="000000"/>
      <w:sz w:val="28"/>
      <w:szCs w:val="28"/>
      <w:u w:val="none"/>
    </w:rPr>
  </w:style>
  <w:style w:type="character" w:customStyle="1" w:styleId="45">
    <w:name w:val="font01"/>
    <w:basedOn w:val="23"/>
    <w:autoRedefine/>
    <w:qFormat/>
    <w:uiPriority w:val="0"/>
    <w:rPr>
      <w:rFonts w:hint="eastAsia" w:ascii="宋体" w:hAnsi="宋体" w:eastAsia="宋体" w:cs="宋体"/>
      <w:color w:val="000000"/>
      <w:sz w:val="28"/>
      <w:szCs w:val="28"/>
      <w:u w:val="none"/>
    </w:rPr>
  </w:style>
  <w:style w:type="character" w:customStyle="1" w:styleId="46">
    <w:name w:val="font131"/>
    <w:basedOn w:val="23"/>
    <w:autoRedefine/>
    <w:qFormat/>
    <w:uiPriority w:val="0"/>
    <w:rPr>
      <w:rFonts w:ascii="Arial" w:hAnsi="Arial" w:cs="Arial"/>
      <w:color w:val="000000"/>
      <w:sz w:val="22"/>
      <w:szCs w:val="22"/>
      <w:u w:val="none"/>
    </w:rPr>
  </w:style>
  <w:style w:type="character" w:customStyle="1" w:styleId="47">
    <w:name w:val="font191"/>
    <w:basedOn w:val="23"/>
    <w:autoRedefine/>
    <w:qFormat/>
    <w:uiPriority w:val="0"/>
    <w:rPr>
      <w:rFonts w:hint="eastAsia" w:ascii="宋体" w:hAnsi="宋体" w:eastAsia="宋体" w:cs="宋体"/>
      <w:color w:val="000000"/>
      <w:sz w:val="22"/>
      <w:szCs w:val="22"/>
      <w:u w:val="none"/>
    </w:rPr>
  </w:style>
  <w:style w:type="character" w:customStyle="1" w:styleId="48">
    <w:name w:val="font181"/>
    <w:basedOn w:val="23"/>
    <w:autoRedefine/>
    <w:qFormat/>
    <w:uiPriority w:val="0"/>
    <w:rPr>
      <w:rFonts w:hint="eastAsia" w:ascii="宋体" w:hAnsi="宋体" w:eastAsia="宋体" w:cs="宋体"/>
      <w:color w:val="00B0F0"/>
      <w:sz w:val="22"/>
      <w:szCs w:val="22"/>
      <w:u w:val="none"/>
    </w:rPr>
  </w:style>
  <w:style w:type="character" w:customStyle="1" w:styleId="49">
    <w:name w:val="font161"/>
    <w:basedOn w:val="23"/>
    <w:autoRedefine/>
    <w:qFormat/>
    <w:uiPriority w:val="0"/>
    <w:rPr>
      <w:rFonts w:hint="default" w:ascii="Times New Roman" w:hAnsi="Times New Roman" w:cs="Times New Roman"/>
      <w:color w:val="000000"/>
      <w:sz w:val="22"/>
      <w:szCs w:val="22"/>
      <w:u w:val="none"/>
    </w:rPr>
  </w:style>
  <w:style w:type="character" w:customStyle="1" w:styleId="50">
    <w:name w:val="font121"/>
    <w:basedOn w:val="23"/>
    <w:autoRedefine/>
    <w:qFormat/>
    <w:uiPriority w:val="0"/>
    <w:rPr>
      <w:rFonts w:hint="eastAsia" w:ascii="宋体" w:hAnsi="宋体" w:eastAsia="宋体" w:cs="宋体"/>
      <w:b/>
      <w:color w:val="00CCFF"/>
      <w:sz w:val="24"/>
      <w:szCs w:val="24"/>
      <w:u w:val="none"/>
    </w:rPr>
  </w:style>
  <w:style w:type="character" w:customStyle="1" w:styleId="51">
    <w:name w:val="font31"/>
    <w:basedOn w:val="23"/>
    <w:autoRedefine/>
    <w:qFormat/>
    <w:uiPriority w:val="0"/>
    <w:rPr>
      <w:rFonts w:hint="default" w:ascii="Times New Roman" w:hAnsi="Times New Roman" w:cs="Times New Roman"/>
      <w:color w:val="000000"/>
      <w:sz w:val="24"/>
      <w:szCs w:val="24"/>
      <w:u w:val="none"/>
    </w:rPr>
  </w:style>
  <w:style w:type="character" w:customStyle="1" w:styleId="52">
    <w:name w:val="font201"/>
    <w:basedOn w:val="23"/>
    <w:autoRedefine/>
    <w:qFormat/>
    <w:uiPriority w:val="0"/>
    <w:rPr>
      <w:rFonts w:hint="eastAsia" w:ascii="宋体" w:hAnsi="宋体" w:eastAsia="宋体" w:cs="宋体"/>
      <w:color w:val="00B0F0"/>
      <w:sz w:val="22"/>
      <w:szCs w:val="22"/>
      <w:u w:val="none"/>
    </w:rPr>
  </w:style>
  <w:style w:type="character" w:customStyle="1" w:styleId="53">
    <w:name w:val="font112"/>
    <w:basedOn w:val="23"/>
    <w:autoRedefine/>
    <w:qFormat/>
    <w:uiPriority w:val="0"/>
    <w:rPr>
      <w:rFonts w:hint="eastAsia" w:ascii="宋体" w:hAnsi="宋体" w:eastAsia="宋体" w:cs="宋体"/>
      <w:color w:val="FF0000"/>
      <w:sz w:val="22"/>
      <w:szCs w:val="22"/>
      <w:u w:val="none"/>
    </w:rPr>
  </w:style>
  <w:style w:type="character" w:customStyle="1" w:styleId="54">
    <w:name w:val="font151"/>
    <w:basedOn w:val="23"/>
    <w:autoRedefine/>
    <w:qFormat/>
    <w:uiPriority w:val="0"/>
    <w:rPr>
      <w:rFonts w:ascii="Arial" w:hAnsi="Arial" w:cs="Arial"/>
      <w:color w:val="000000"/>
      <w:sz w:val="22"/>
      <w:szCs w:val="22"/>
      <w:u w:val="none"/>
    </w:rPr>
  </w:style>
  <w:style w:type="character" w:customStyle="1" w:styleId="55">
    <w:name w:val="font212"/>
    <w:basedOn w:val="23"/>
    <w:autoRedefine/>
    <w:qFormat/>
    <w:uiPriority w:val="0"/>
    <w:rPr>
      <w:rFonts w:hint="eastAsia" w:ascii="宋体" w:hAnsi="宋体" w:eastAsia="宋体" w:cs="宋体"/>
      <w:color w:val="000000"/>
      <w:sz w:val="22"/>
      <w:szCs w:val="22"/>
      <w:u w:val="none"/>
    </w:rPr>
  </w:style>
  <w:style w:type="character" w:customStyle="1" w:styleId="56">
    <w:name w:val="font21"/>
    <w:basedOn w:val="23"/>
    <w:autoRedefine/>
    <w:qFormat/>
    <w:uiPriority w:val="0"/>
    <w:rPr>
      <w:rFonts w:hint="default" w:ascii="Arial" w:hAnsi="Arial" w:cs="Arial"/>
      <w:color w:val="00CCFF"/>
      <w:sz w:val="22"/>
      <w:szCs w:val="22"/>
      <w:u w:val="none"/>
    </w:rPr>
  </w:style>
  <w:style w:type="character" w:customStyle="1" w:styleId="57">
    <w:name w:val="font141"/>
    <w:basedOn w:val="23"/>
    <w:autoRedefine/>
    <w:qFormat/>
    <w:uiPriority w:val="0"/>
    <w:rPr>
      <w:rFonts w:hint="default" w:ascii="Arial" w:hAnsi="Arial" w:cs="Arial"/>
      <w:color w:val="000000"/>
      <w:sz w:val="24"/>
      <w:szCs w:val="24"/>
      <w:u w:val="none"/>
    </w:rPr>
  </w:style>
  <w:style w:type="character" w:customStyle="1" w:styleId="58">
    <w:name w:val="font71"/>
    <w:basedOn w:val="23"/>
    <w:autoRedefine/>
    <w:qFormat/>
    <w:uiPriority w:val="0"/>
    <w:rPr>
      <w:rFonts w:hint="default" w:ascii="Times New Roman" w:hAnsi="Times New Roman" w:cs="Times New Roman"/>
      <w:color w:val="000000"/>
      <w:sz w:val="24"/>
      <w:szCs w:val="24"/>
      <w:u w:val="none"/>
    </w:rPr>
  </w:style>
  <w:style w:type="character" w:customStyle="1" w:styleId="59">
    <w:name w:val="bsharetext"/>
    <w:basedOn w:val="23"/>
    <w:autoRedefine/>
    <w:qFormat/>
    <w:uiPriority w:val="0"/>
  </w:style>
  <w:style w:type="character" w:customStyle="1" w:styleId="60">
    <w:name w:val="批注框文本 字符"/>
    <w:basedOn w:val="23"/>
    <w:link w:val="11"/>
    <w:autoRedefine/>
    <w:qFormat/>
    <w:uiPriority w:val="0"/>
    <w:rPr>
      <w:kern w:val="2"/>
      <w:sz w:val="18"/>
      <w:szCs w:val="18"/>
    </w:rPr>
  </w:style>
  <w:style w:type="paragraph" w:customStyle="1" w:styleId="61">
    <w:name w:val="_Style 6"/>
    <w:basedOn w:val="1"/>
    <w:autoRedefine/>
    <w:qFormat/>
    <w:uiPriority w:val="0"/>
    <w:pPr>
      <w:ind w:firstLine="420" w:firstLineChars="200"/>
    </w:pPr>
    <w:rPr>
      <w:rFonts w:ascii="Calibri" w:hAnsi="Calibri"/>
      <w:szCs w:val="22"/>
    </w:rPr>
  </w:style>
  <w:style w:type="paragraph" w:customStyle="1" w:styleId="62">
    <w:name w:val="CM19"/>
    <w:basedOn w:val="63"/>
    <w:next w:val="63"/>
    <w:autoRedefine/>
    <w:unhideWhenUsed/>
    <w:qFormat/>
    <w:uiPriority w:val="99"/>
    <w:rPr>
      <w:rFonts w:hint="default"/>
    </w:rPr>
  </w:style>
  <w:style w:type="paragraph" w:customStyle="1" w:styleId="63">
    <w:name w:val="Default"/>
    <w:autoRedefine/>
    <w:unhideWhenUsed/>
    <w:qFormat/>
    <w:uiPriority w:val="99"/>
    <w:pPr>
      <w:widowControl w:val="0"/>
      <w:autoSpaceDE w:val="0"/>
      <w:autoSpaceDN w:val="0"/>
      <w:adjustRightInd w:val="0"/>
    </w:pPr>
    <w:rPr>
      <w:rFonts w:hint="eastAsia" w:ascii="仿宋" w:hAnsi="仿宋" w:eastAsia="仿宋" w:cs="Times New Roman"/>
      <w:color w:val="000000"/>
      <w:sz w:val="24"/>
      <w:lang w:val="en-US" w:eastAsia="zh-CN" w:bidi="ar-SA"/>
    </w:rPr>
  </w:style>
  <w:style w:type="paragraph" w:customStyle="1" w:styleId="64">
    <w:name w:val="CM11"/>
    <w:basedOn w:val="63"/>
    <w:next w:val="63"/>
    <w:autoRedefine/>
    <w:unhideWhenUsed/>
    <w:qFormat/>
    <w:uiPriority w:val="99"/>
    <w:pPr>
      <w:spacing w:line="520" w:lineRule="atLeast"/>
    </w:pPr>
    <w:rPr>
      <w:rFonts w:hint="default"/>
    </w:rPr>
  </w:style>
  <w:style w:type="paragraph" w:customStyle="1" w:styleId="65">
    <w:name w:val="CM13"/>
    <w:basedOn w:val="63"/>
    <w:next w:val="63"/>
    <w:autoRedefine/>
    <w:unhideWhenUsed/>
    <w:qFormat/>
    <w:uiPriority w:val="99"/>
    <w:pPr>
      <w:spacing w:line="520" w:lineRule="atLeast"/>
    </w:pPr>
    <w:rPr>
      <w:rFonts w:hint="default"/>
    </w:rPr>
  </w:style>
  <w:style w:type="paragraph" w:customStyle="1" w:styleId="66">
    <w:name w:val="CM14"/>
    <w:basedOn w:val="63"/>
    <w:next w:val="63"/>
    <w:autoRedefine/>
    <w:unhideWhenUsed/>
    <w:qFormat/>
    <w:uiPriority w:val="99"/>
    <w:pPr>
      <w:spacing w:line="546" w:lineRule="atLeast"/>
    </w:pPr>
    <w:rPr>
      <w:rFonts w:hint="default"/>
    </w:rPr>
  </w:style>
  <w:style w:type="paragraph" w:customStyle="1" w:styleId="67">
    <w:name w:val="正文_7"/>
    <w:autoRedefine/>
    <w:qFormat/>
    <w:uiPriority w:val="0"/>
    <w:rPr>
      <w:rFonts w:ascii="Times New Roman" w:hAnsi="Times New Roman" w:eastAsia="宋体" w:cs="Times New Roman"/>
      <w:sz w:val="21"/>
      <w:lang w:val="en-US" w:eastAsia="zh-CN" w:bidi="ar-SA"/>
    </w:rPr>
  </w:style>
  <w:style w:type="character" w:customStyle="1" w:styleId="68">
    <w:name w:val="NormalCharacter"/>
    <w:autoRedefine/>
    <w:semiHidden/>
    <w:qFormat/>
    <w:uiPriority w:val="0"/>
  </w:style>
  <w:style w:type="character" w:customStyle="1" w:styleId="69">
    <w:name w:val="font101"/>
    <w:basedOn w:val="23"/>
    <w:autoRedefine/>
    <w:qFormat/>
    <w:uiPriority w:val="0"/>
    <w:rPr>
      <w:rFonts w:hint="default" w:ascii="Times New Roman" w:hAnsi="Times New Roman" w:cs="Times New Roman"/>
      <w:color w:val="000000"/>
      <w:sz w:val="20"/>
      <w:szCs w:val="20"/>
      <w:u w:val="none"/>
    </w:rPr>
  </w:style>
  <w:style w:type="character" w:customStyle="1" w:styleId="70">
    <w:name w:val="font41"/>
    <w:basedOn w:val="23"/>
    <w:autoRedefine/>
    <w:qFormat/>
    <w:uiPriority w:val="0"/>
    <w:rPr>
      <w:rFonts w:hint="default" w:ascii="Times New Roman" w:hAnsi="Times New Roman" w:cs="Times New Roman"/>
      <w:color w:val="000000"/>
      <w:sz w:val="20"/>
      <w:szCs w:val="20"/>
      <w:u w:val="none"/>
    </w:rPr>
  </w:style>
  <w:style w:type="character" w:customStyle="1" w:styleId="71">
    <w:name w:val="font81"/>
    <w:basedOn w:val="23"/>
    <w:autoRedefine/>
    <w:qFormat/>
    <w:uiPriority w:val="0"/>
    <w:rPr>
      <w:rFonts w:ascii="Segoe UI Symbol" w:hAnsi="Segoe UI Symbol" w:eastAsia="Segoe UI Symbol" w:cs="Segoe UI Symbol"/>
      <w:color w:val="000000"/>
      <w:sz w:val="20"/>
      <w:szCs w:val="20"/>
      <w:u w:val="none"/>
    </w:rPr>
  </w:style>
  <w:style w:type="character" w:customStyle="1" w:styleId="72">
    <w:name w:val="font91"/>
    <w:basedOn w:val="23"/>
    <w:autoRedefine/>
    <w:qFormat/>
    <w:uiPriority w:val="0"/>
    <w:rPr>
      <w:rFonts w:ascii="Calibri" w:hAnsi="Calibri" w:cs="Calibri"/>
      <w:color w:val="000000"/>
      <w:sz w:val="20"/>
      <w:szCs w:val="20"/>
      <w:u w:val="none"/>
    </w:rPr>
  </w:style>
  <w:style w:type="paragraph" w:customStyle="1" w:styleId="73">
    <w:name w:val="Body Text First Indent 22"/>
    <w:basedOn w:val="74"/>
    <w:autoRedefine/>
    <w:qFormat/>
    <w:uiPriority w:val="0"/>
    <w:pPr>
      <w:ind w:firstLine="420"/>
    </w:pPr>
  </w:style>
  <w:style w:type="paragraph" w:customStyle="1" w:styleId="74">
    <w:name w:val="Body Text Indent2"/>
    <w:basedOn w:val="1"/>
    <w:next w:val="75"/>
    <w:autoRedefine/>
    <w:qFormat/>
    <w:uiPriority w:val="0"/>
    <w:pPr>
      <w:spacing w:after="120"/>
      <w:ind w:left="420" w:leftChars="200"/>
    </w:pPr>
  </w:style>
  <w:style w:type="paragraph" w:customStyle="1" w:styleId="75">
    <w:name w:val="Body Text First Indent 21"/>
    <w:basedOn w:val="76"/>
    <w:next w:val="7"/>
    <w:autoRedefine/>
    <w:qFormat/>
    <w:uiPriority w:val="0"/>
    <w:pPr>
      <w:ind w:firstLine="420"/>
    </w:pPr>
  </w:style>
  <w:style w:type="paragraph" w:customStyle="1" w:styleId="76">
    <w:name w:val="Body Text Indent1"/>
    <w:basedOn w:val="1"/>
    <w:next w:val="75"/>
    <w:autoRedefine/>
    <w:qFormat/>
    <w:uiPriority w:val="0"/>
    <w:pPr>
      <w:spacing w:line="500" w:lineRule="exact"/>
      <w:ind w:firstLine="880" w:firstLineChars="200"/>
    </w:pPr>
  </w:style>
  <w:style w:type="paragraph" w:customStyle="1" w:styleId="77">
    <w:name w:val="正文缩进2格"/>
    <w:basedOn w:val="1"/>
    <w:autoRedefine/>
    <w:qFormat/>
    <w:uiPriority w:val="0"/>
    <w:pPr>
      <w:spacing w:line="600" w:lineRule="exact"/>
      <w:ind w:firstLine="639" w:firstLineChars="206"/>
    </w:pPr>
    <w:rPr>
      <w:rFonts w:ascii="仿宋_GB2312" w:hAnsi="宋体" w:eastAsia="仿宋_GB2312"/>
      <w:sz w:val="31"/>
      <w:szCs w:val="28"/>
    </w:rPr>
  </w:style>
  <w:style w:type="table" w:customStyle="1" w:styleId="78">
    <w:name w:val="Table Normal"/>
    <w:autoRedefine/>
    <w:semiHidden/>
    <w:unhideWhenUsed/>
    <w:qFormat/>
    <w:uiPriority w:val="0"/>
    <w:tblPr>
      <w:tblCellMar>
        <w:top w:w="0" w:type="dxa"/>
        <w:left w:w="0" w:type="dxa"/>
        <w:bottom w:w="0" w:type="dxa"/>
        <w:right w:w="0" w:type="dxa"/>
      </w:tblCellMar>
    </w:tblPr>
  </w:style>
  <w:style w:type="character" w:customStyle="1" w:styleId="79">
    <w:name w:val="标题 1 字符"/>
    <w:link w:val="2"/>
    <w:autoRedefine/>
    <w:qFormat/>
    <w:uiPriority w:val="0"/>
    <w:rPr>
      <w:b/>
      <w:kern w:val="44"/>
      <w:sz w:val="28"/>
    </w:rPr>
  </w:style>
  <w:style w:type="paragraph" w:styleId="80">
    <w:name w:val="No Spacing"/>
    <w:qFormat/>
    <w:uiPriority w:val="1"/>
    <w:pPr>
      <w:widowControl w:val="0"/>
      <w:jc w:val="both"/>
    </w:pPr>
    <w:rPr>
      <w:rFonts w:ascii="Times New Roman" w:hAnsi="Times New Roman" w:eastAsia="宋体" w:cs="Times New Roman"/>
      <w:kern w:val="2"/>
      <w:sz w:val="21"/>
      <w:szCs w:val="21"/>
      <w:lang w:val="en-US" w:eastAsia="zh-CN" w:bidi="ar-SA"/>
    </w:rPr>
  </w:style>
  <w:style w:type="character" w:customStyle="1" w:styleId="81">
    <w:name w:val="批注文字 字符"/>
    <w:basedOn w:val="23"/>
    <w:link w:val="6"/>
    <w:qFormat/>
    <w:uiPriority w:val="0"/>
    <w:rPr>
      <w:kern w:val="2"/>
      <w:sz w:val="21"/>
    </w:rPr>
  </w:style>
  <w:style w:type="character" w:customStyle="1" w:styleId="82">
    <w:name w:val="批注主题 字符"/>
    <w:basedOn w:val="81"/>
    <w:link w:val="19"/>
    <w:qFormat/>
    <w:uiPriority w:val="0"/>
    <w:rPr>
      <w:b/>
      <w:bCs/>
      <w:kern w:val="2"/>
      <w:sz w:val="21"/>
    </w:rPr>
  </w:style>
  <w:style w:type="paragraph" w:customStyle="1" w:styleId="83">
    <w:name w:val="样式111111111111"/>
    <w:basedOn w:val="1"/>
    <w:unhideWhenUsed/>
    <w:qFormat/>
    <w:uiPriority w:val="0"/>
    <w:pPr>
      <w:keepNext/>
      <w:spacing w:line="600" w:lineRule="exact"/>
      <w:jc w:val="left"/>
    </w:pPr>
    <w:rPr>
      <w:rFonts w:hint="eastAsia" w:ascii="等线" w:hAnsi="等线" w:eastAsia="等线"/>
      <w:color w:val="000000"/>
      <w:sz w:val="24"/>
      <w:szCs w:val="22"/>
    </w:rPr>
  </w:style>
  <w:style w:type="paragraph" w:customStyle="1" w:styleId="84">
    <w:name w:val="无间隔1"/>
    <w:qFormat/>
    <w:uiPriority w:val="0"/>
    <w:rPr>
      <w:rFonts w:ascii="Times New Roman" w:hAnsi="Times New Roman" w:eastAsia="宋体" w:cs="Times New Roman"/>
      <w:sz w:val="22"/>
      <w:lang w:val="en-US" w:eastAsia="zh-CN" w:bidi="ar-SA"/>
    </w:rPr>
  </w:style>
  <w:style w:type="paragraph" w:customStyle="1" w:styleId="85">
    <w:name w:val="Table Text"/>
    <w:basedOn w:val="1"/>
    <w:autoRedefine/>
    <w:semiHidden/>
    <w:qFormat/>
    <w:uiPriority w:val="0"/>
    <w:rPr>
      <w:rFonts w:ascii="宋体" w:hAnsi="宋体" w:cs="宋体"/>
      <w:sz w:val="20"/>
      <w:lang w:eastAsia="en-US"/>
    </w:rPr>
  </w:style>
  <w:style w:type="paragraph" w:customStyle="1" w:styleId="86">
    <w:name w:val="列出段落2"/>
    <w:basedOn w:val="1"/>
    <w:qFormat/>
    <w:uiPriority w:val="0"/>
    <w:pPr>
      <w:widowControl/>
      <w:ind w:firstLine="420" w:firstLineChars="200"/>
      <w:jc w:val="left"/>
    </w:pPr>
    <w:rPr>
      <w:kern w:val="0"/>
      <w:szCs w:val="24"/>
    </w:rPr>
  </w:style>
</w:styles>
</file>

<file path=word/_rels/document.xml.rels><?xml version="1.0" encoding="UTF-8" standalone="yes"?>
<Relationships xmlns="http://schemas.openxmlformats.org/package/2006/relationships"><Relationship Id="rId9" Type="http://schemas.openxmlformats.org/officeDocument/2006/relationships/header" Target="header4.xml"/><Relationship Id="rId8" Type="http://schemas.openxmlformats.org/officeDocument/2006/relationships/header" Target="header3.xml"/><Relationship Id="rId7" Type="http://schemas.openxmlformats.org/officeDocument/2006/relationships/footer" Target="footer3.xml"/><Relationship Id="rId6" Type="http://schemas.openxmlformats.org/officeDocument/2006/relationships/footer" Target="footer2.xml"/><Relationship Id="rId5" Type="http://schemas.openxmlformats.org/officeDocument/2006/relationships/footer" Target="footer1.xml"/><Relationship Id="rId4" Type="http://schemas.openxmlformats.org/officeDocument/2006/relationships/header" Target="header2.xml"/><Relationship Id="rId3" Type="http://schemas.openxmlformats.org/officeDocument/2006/relationships/header" Target="header1.xml"/><Relationship Id="rId29" Type="http://schemas.openxmlformats.org/officeDocument/2006/relationships/fontTable" Target="fontTable.xml"/><Relationship Id="rId28" Type="http://schemas.openxmlformats.org/officeDocument/2006/relationships/customXml" Target="../customXml/item2.xml"/><Relationship Id="rId27" Type="http://schemas.openxmlformats.org/officeDocument/2006/relationships/numbering" Target="numbering.xml"/><Relationship Id="rId26" Type="http://schemas.openxmlformats.org/officeDocument/2006/relationships/customXml" Target="../customXml/item1.xml"/><Relationship Id="rId25" Type="http://schemas.openxmlformats.org/officeDocument/2006/relationships/image" Target="media/image4.png"/><Relationship Id="rId24" Type="http://schemas.openxmlformats.org/officeDocument/2006/relationships/image" Target="media/image3.png"/><Relationship Id="rId23" Type="http://schemas.openxmlformats.org/officeDocument/2006/relationships/image" Target="media/image2.png"/><Relationship Id="rId22" Type="http://schemas.openxmlformats.org/officeDocument/2006/relationships/image" Target="media/image1.jpeg"/><Relationship Id="rId21" Type="http://schemas.openxmlformats.org/officeDocument/2006/relationships/theme" Target="theme/theme1.xml"/><Relationship Id="rId20" Type="http://schemas.openxmlformats.org/officeDocument/2006/relationships/header" Target="header8.xml"/><Relationship Id="rId2" Type="http://schemas.openxmlformats.org/officeDocument/2006/relationships/settings" Target="settings.xml"/><Relationship Id="rId19" Type="http://schemas.openxmlformats.org/officeDocument/2006/relationships/footer" Target="footer10.xml"/><Relationship Id="rId18" Type="http://schemas.openxmlformats.org/officeDocument/2006/relationships/header" Target="header7.xml"/><Relationship Id="rId17" Type="http://schemas.openxmlformats.org/officeDocument/2006/relationships/footer" Target="footer9.xml"/><Relationship Id="rId16" Type="http://schemas.openxmlformats.org/officeDocument/2006/relationships/footer" Target="footer8.xml"/><Relationship Id="rId15" Type="http://schemas.openxmlformats.org/officeDocument/2006/relationships/footer" Target="footer7.xml"/><Relationship Id="rId14" Type="http://schemas.openxmlformats.org/officeDocument/2006/relationships/header" Target="header6.xml"/><Relationship Id="rId13" Type="http://schemas.openxmlformats.org/officeDocument/2006/relationships/footer" Target="footer6.xml"/><Relationship Id="rId12" Type="http://schemas.openxmlformats.org/officeDocument/2006/relationships/header" Target="header5.xml"/><Relationship Id="rId11" Type="http://schemas.openxmlformats.org/officeDocument/2006/relationships/footer" Target="footer5.xml"/><Relationship Id="rId10" Type="http://schemas.openxmlformats.org/officeDocument/2006/relationships/footer" Target="footer4.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ops>
  <customShpExts>
    <customShpInfo spid="_x0000_s1026" textRotate="1"/>
  </customShpExts>
</s:customDat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D775864D-1A53-4074-9FC0-BBC91F846E60}">
  <ds:schemaRefs/>
</ds:datastoreItem>
</file>

<file path=docProps/app.xml><?xml version="1.0" encoding="utf-8"?>
<Properties xmlns="http://schemas.openxmlformats.org/officeDocument/2006/extended-properties" xmlns:vt="http://schemas.openxmlformats.org/officeDocument/2006/docPropsVTypes">
  <Template>Normal.dotm</Template>
  <Company>Microsoft</Company>
  <Pages>113</Pages>
  <Words>15662</Words>
  <Characters>16799</Characters>
  <Lines>690</Lines>
  <Paragraphs>194</Paragraphs>
  <TotalTime>0</TotalTime>
  <ScaleCrop>false</ScaleCrop>
  <LinksUpToDate>false</LinksUpToDate>
  <CharactersWithSpaces>17106</CharactersWithSpaces>
  <Application>WPS Office_12.1.0.20784_F1E327BC-269C-435d-A152-05C5408002CA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2020-05-11T05:08:00Z</dcterms:created>
  <dc:creator>Administrator</dc:creator>
  <cp:lastModifiedBy>zj</cp:lastModifiedBy>
  <cp:lastPrinted>2023-05-19T01:49:00Z</cp:lastPrinted>
  <dcterms:modified xsi:type="dcterms:W3CDTF">2025-04-21T06:29:09Z</dcterms:modified>
  <cp:revision>74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2052-12.1.0.20784</vt:lpwstr>
  </property>
  <property fmtid="{D5CDD505-2E9C-101B-9397-08002B2CF9AE}" pid="3" name="ICV">
    <vt:lpwstr>34CDF4D02D5B44818C09CA2C2FCD9D28_13</vt:lpwstr>
  </property>
  <property fmtid="{D5CDD505-2E9C-101B-9397-08002B2CF9AE}" pid="4" name="KSOTemplateDocerSaveRecord">
    <vt:lpwstr>eyJoZGlkIjoiMDJkNTNlMDQ5MDAwYzBjMmEzODlhNDIzOTA0OGZjYmUiLCJ1c2VySWQiOiIxNDM5MzY4NzE1In0=</vt:lpwstr>
  </property>
</Properties>
</file>