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ind w:firstLine="210" w:firstLineChars="100"/>
        <w:jc w:val="left"/>
        <w:rPr>
          <w:rFonts w:ascii="仿宋_GB2312" w:eastAsia="仿宋_GB2312"/>
          <w:b/>
          <w:color w:val="002060"/>
          <w:sz w:val="44"/>
          <w:szCs w:val="44"/>
        </w:rPr>
      </w:pPr>
      <w:r>
        <w:drawing>
          <wp:inline distT="0" distB="0" distL="0" distR="0">
            <wp:extent cx="634365" cy="647700"/>
            <wp:effectExtent l="0" t="0" r="133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stretch>
                      <a:fillRect/>
                    </a:stretch>
                  </pic:blipFill>
                  <pic:spPr>
                    <a:xfrm>
                      <a:off x="0" y="0"/>
                      <a:ext cx="634487" cy="648000"/>
                    </a:xfrm>
                    <a:prstGeom prst="rect">
                      <a:avLst/>
                    </a:prstGeom>
                  </pic:spPr>
                </pic:pic>
              </a:graphicData>
            </a:graphic>
          </wp:inline>
        </w:drawing>
      </w:r>
      <w:r>
        <w:rPr>
          <w:rFonts w:hint="eastAsia" w:ascii="仿宋_GB2312" w:eastAsia="仿宋_GB2312"/>
          <w:b/>
          <w:color w:val="002060"/>
          <w:sz w:val="44"/>
          <w:szCs w:val="44"/>
        </w:rPr>
        <w:t xml:space="preserve"> </w:t>
      </w:r>
      <w:r>
        <w:drawing>
          <wp:inline distT="0" distB="0" distL="0" distR="0">
            <wp:extent cx="2897505" cy="647700"/>
            <wp:effectExtent l="0" t="0" r="171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cstate="print"/>
                    <a:stretch>
                      <a:fillRect/>
                    </a:stretch>
                  </pic:blipFill>
                  <pic:spPr>
                    <a:xfrm>
                      <a:off x="0" y="0"/>
                      <a:ext cx="2898000" cy="648000"/>
                    </a:xfrm>
                    <a:prstGeom prst="rect">
                      <a:avLst/>
                    </a:prstGeom>
                  </pic:spPr>
                </pic:pic>
              </a:graphicData>
            </a:graphic>
          </wp:inline>
        </w:drawing>
      </w:r>
    </w:p>
    <w:p>
      <w:pPr>
        <w:ind w:firstLine="442" w:firstLineChars="100"/>
        <w:jc w:val="left"/>
        <w:rPr>
          <w:rFonts w:ascii="仿宋_GB2312" w:eastAsia="仿宋_GB2312"/>
          <w:b/>
          <w:color w:val="002060"/>
          <w:sz w:val="44"/>
          <w:szCs w:val="44"/>
        </w:rPr>
      </w:pPr>
    </w:p>
    <w:p>
      <w:pPr>
        <w:widowControl/>
        <w:spacing w:line="420" w:lineRule="exact"/>
        <w:rPr>
          <w:b/>
          <w:bCs/>
          <w:color w:val="000000" w:themeColor="text1"/>
          <w:sz w:val="24"/>
          <w:lang w:val="zh-CN"/>
          <w14:textFill>
            <w14:solidFill>
              <w14:schemeClr w14:val="tx1"/>
            </w14:solidFill>
          </w14:textFill>
        </w:rPr>
      </w:pPr>
    </w:p>
    <w:p>
      <w:pPr>
        <w:widowControl/>
        <w:spacing w:line="420" w:lineRule="exact"/>
        <w:rPr>
          <w:b/>
          <w:bCs/>
          <w:color w:val="000000" w:themeColor="text1"/>
          <w:sz w:val="24"/>
          <w:lang w:val="zh-CN"/>
          <w14:textFill>
            <w14:solidFill>
              <w14:schemeClr w14:val="tx1"/>
            </w14:solidFill>
          </w14:textFill>
        </w:rPr>
      </w:pPr>
    </w:p>
    <w:p>
      <w:pPr>
        <w:spacing w:before="120" w:beforeLines="50" w:after="480" w:afterLines="200"/>
        <w:jc w:val="center"/>
        <w:rPr>
          <w:rFonts w:ascii="黑体" w:eastAsia="黑体"/>
          <w:b/>
          <w:color w:val="000000" w:themeColor="text1"/>
          <w:sz w:val="52"/>
          <w:szCs w:val="52"/>
          <w14:textFill>
            <w14:solidFill>
              <w14:schemeClr w14:val="tx1"/>
            </w14:solidFill>
          </w14:textFill>
        </w:rPr>
      </w:pPr>
      <w:r>
        <w:rPr>
          <w:rFonts w:hint="eastAsia" w:ascii="黑体" w:eastAsia="黑体"/>
          <w:b/>
          <w:color w:val="000000" w:themeColor="text1"/>
          <w:sz w:val="52"/>
          <w:szCs w:val="52"/>
          <w14:textFill>
            <w14:solidFill>
              <w14:schemeClr w14:val="tx1"/>
            </w14:solidFill>
          </w14:textFill>
        </w:rPr>
        <w:t>汽车电子技术专业</w:t>
      </w:r>
    </w:p>
    <w:p>
      <w:pPr>
        <w:spacing w:before="50" w:after="120" w:afterLines="50"/>
        <w:jc w:val="center"/>
        <w:rPr>
          <w:rFonts w:ascii="黑体" w:eastAsia="黑体"/>
          <w:b/>
          <w:color w:val="000000" w:themeColor="text1"/>
          <w:spacing w:val="40"/>
          <w:sz w:val="72"/>
          <w:szCs w:val="72"/>
          <w14:textFill>
            <w14:solidFill>
              <w14:schemeClr w14:val="tx1"/>
            </w14:solidFill>
          </w14:textFill>
        </w:rPr>
      </w:pPr>
      <w:r>
        <w:rPr>
          <w:rFonts w:hint="eastAsia" w:ascii="黑体" w:eastAsia="黑体"/>
          <w:b/>
          <w:color w:val="000000" w:themeColor="text1"/>
          <w:spacing w:val="40"/>
          <w:sz w:val="72"/>
          <w:szCs w:val="72"/>
          <w14:textFill>
            <w14:solidFill>
              <w14:schemeClr w14:val="tx1"/>
            </w14:solidFill>
          </w14:textFill>
        </w:rPr>
        <w:t>人才培养方案</w:t>
      </w:r>
    </w:p>
    <w:p>
      <w:pPr>
        <w:widowControl/>
        <w:spacing w:before="50" w:after="120" w:afterLines="50"/>
        <w:jc w:val="center"/>
        <w:rPr>
          <w:b/>
          <w:bCs/>
          <w:color w:val="000000" w:themeColor="text1"/>
          <w:sz w:val="24"/>
          <w:lang w:val="zh-CN"/>
          <w14:textFill>
            <w14:solidFill>
              <w14:schemeClr w14:val="tx1"/>
            </w14:solidFill>
          </w14:textFill>
        </w:rPr>
      </w:pPr>
    </w:p>
    <w:p>
      <w:pPr>
        <w:widowControl/>
        <w:spacing w:before="50" w:after="120" w:afterLines="50"/>
        <w:jc w:val="center"/>
        <w:rPr>
          <w:rFonts w:ascii="黑体" w:hAnsi="黑体" w:eastAsia="黑体"/>
          <w:b/>
          <w:bCs/>
          <w:color w:val="000000" w:themeColor="text1"/>
          <w:sz w:val="52"/>
          <w:szCs w:val="52"/>
          <w:lang w:val="zh-CN"/>
          <w14:textFill>
            <w14:solidFill>
              <w14:schemeClr w14:val="tx1"/>
            </w14:solidFill>
          </w14:textFill>
        </w:rPr>
      </w:pPr>
      <w:r>
        <w:rPr>
          <w:rFonts w:hint="eastAsia" w:ascii="黑体" w:hAnsi="黑体" w:eastAsia="黑体"/>
          <w:b/>
          <w:bCs/>
          <w:color w:val="000000" w:themeColor="text1"/>
          <w:sz w:val="52"/>
          <w:szCs w:val="52"/>
          <w:lang w:val="zh-CN"/>
          <w14:textFill>
            <w14:solidFill>
              <w14:schemeClr w14:val="tx1"/>
            </w14:solidFill>
          </w14:textFill>
        </w:rPr>
        <w:t>(2020版)</w:t>
      </w: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jc w:val="center"/>
        <w:rPr>
          <w:rFonts w:ascii="黑体" w:hAnsi="黑体" w:eastAsia="黑体"/>
          <w:bCs/>
          <w:color w:val="000000" w:themeColor="text1"/>
          <w:sz w:val="44"/>
          <w:szCs w:val="44"/>
          <w:lang w:val="zh-CN"/>
          <w14:textFill>
            <w14:solidFill>
              <w14:schemeClr w14:val="tx1"/>
            </w14:solidFill>
          </w14:textFill>
        </w:rPr>
      </w:pPr>
      <w:r>
        <w:rPr>
          <w:rFonts w:hint="eastAsia" w:ascii="黑体" w:hAnsi="黑体" w:eastAsia="黑体"/>
          <w:bCs/>
          <w:color w:val="000000" w:themeColor="text1"/>
          <w:sz w:val="44"/>
          <w:szCs w:val="44"/>
          <w:lang w:val="zh-CN"/>
          <w14:textFill>
            <w14:solidFill>
              <w14:schemeClr w14:val="tx1"/>
            </w14:solidFill>
          </w14:textFill>
        </w:rPr>
        <w:t>二〇二〇年十月</w:t>
      </w:r>
    </w:p>
    <w:p>
      <w:pPr>
        <w:adjustRightInd w:val="0"/>
        <w:snapToGrid w:val="0"/>
        <w:spacing w:before="120" w:beforeLines="50" w:after="120" w:afterLines="50"/>
        <w:ind w:firstLine="420" w:firstLineChars="200"/>
        <w:jc w:val="center"/>
        <w:rPr>
          <w:color w:val="000000"/>
        </w:rPr>
      </w:pPr>
    </w:p>
    <w:p/>
    <w:p/>
    <w:p/>
    <w:p/>
    <w:p/>
    <w:p/>
    <w:p/>
    <w:p/>
    <w:p/>
    <w:p>
      <w:pPr>
        <w:pStyle w:val="11"/>
        <w:spacing w:before="120" w:beforeLines="50" w:after="120" w:afterLines="50"/>
        <w:jc w:val="center"/>
        <w:rPr>
          <w:rFonts w:ascii="黑体" w:hAnsi="黑体" w:eastAsia="黑体" w:cs="黑体"/>
          <w:color w:val="auto"/>
          <w:sz w:val="28"/>
          <w:lang w:val="zh-CN"/>
        </w:rPr>
        <w:sectPr>
          <w:headerReference r:id="rId4" w:type="first"/>
          <w:headerReference r:id="rId3" w:type="default"/>
          <w:footerReference r:id="rId5" w:type="default"/>
          <w:footerReference r:id="rId6" w:type="even"/>
          <w:pgSz w:w="11906" w:h="16838"/>
          <w:pgMar w:top="1134" w:right="1134" w:bottom="1134" w:left="1985" w:header="851" w:footer="992" w:gutter="0"/>
          <w:cols w:space="720" w:num="1"/>
          <w:titlePg/>
          <w:docGrid w:linePitch="312" w:charSpace="0"/>
        </w:sectPr>
      </w:pPr>
    </w:p>
    <w:p>
      <w:pPr>
        <w:pStyle w:val="7"/>
        <w:spacing w:before="120" w:after="120" w:afterLines="50"/>
      </w:pPr>
      <w:bookmarkStart w:id="0" w:name="_Toc39678498"/>
      <w:bookmarkStart w:id="1" w:name="_Toc37320335"/>
      <w:r>
        <w:rPr>
          <w:rFonts w:hint="eastAsia"/>
        </w:rPr>
        <w:t>汽车电子技术专业人才培养方案</w:t>
      </w:r>
      <w:bookmarkEnd w:id="0"/>
      <w:bookmarkEnd w:id="1"/>
    </w:p>
    <w:p>
      <w:pPr>
        <w:pStyle w:val="7"/>
        <w:spacing w:before="120" w:after="120" w:afterLines="50" w:line="240" w:lineRule="auto"/>
        <w:rPr>
          <w:b w:val="0"/>
          <w:bCs/>
          <w:sz w:val="28"/>
          <w:szCs w:val="28"/>
        </w:rPr>
      </w:pPr>
      <w:r>
        <w:rPr>
          <w:rFonts w:hint="eastAsia"/>
          <w:b w:val="0"/>
          <w:bCs/>
          <w:sz w:val="28"/>
          <w:szCs w:val="28"/>
        </w:rPr>
        <w:t>执笔人：姜峰</w:t>
      </w:r>
    </w:p>
    <w:p>
      <w:pPr>
        <w:adjustRightInd w:val="0"/>
        <w:snapToGrid w:val="0"/>
        <w:spacing w:line="520" w:lineRule="exact"/>
        <w:ind w:firstLine="480" w:firstLineChars="200"/>
        <w:jc w:val="left"/>
        <w:rPr>
          <w:rFonts w:ascii="宋体" w:hAnsi="宋体"/>
          <w:color w:val="000000"/>
          <w:sz w:val="24"/>
        </w:rPr>
      </w:pPr>
      <w:bookmarkStart w:id="2" w:name="OLE_LINK1"/>
      <w:r>
        <w:rPr>
          <w:rFonts w:hint="eastAsia" w:ascii="宋体" w:hAnsi="宋体"/>
          <w:color w:val="000000"/>
          <w:sz w:val="24"/>
        </w:rPr>
        <w:t>【专业代码】</w:t>
      </w:r>
      <w:r>
        <w:rPr>
          <w:rFonts w:hint="eastAsia" w:ascii="宋体" w:hAnsi="宋体"/>
          <w:color w:val="000000"/>
          <w:sz w:val="24"/>
          <w:lang w:val="en-US" w:eastAsia="zh-CN"/>
        </w:rPr>
        <w:t>4</w:t>
      </w:r>
      <w:bookmarkStart w:id="21" w:name="_GoBack"/>
      <w:bookmarkEnd w:id="21"/>
      <w:r>
        <w:rPr>
          <w:rFonts w:hint="eastAsia" w:ascii="宋体" w:hAnsi="宋体"/>
          <w:color w:val="000000"/>
          <w:sz w:val="24"/>
        </w:rPr>
        <w:t>60703</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【专业名称】</w:t>
      </w:r>
      <w:bookmarkStart w:id="3" w:name="_Toc211260316"/>
      <w:bookmarkStart w:id="4" w:name="_Toc211237111"/>
      <w:bookmarkStart w:id="5" w:name="_Toc211083932"/>
      <w:bookmarkStart w:id="6" w:name="_Toc211250611"/>
      <w:r>
        <w:rPr>
          <w:rFonts w:hint="eastAsia" w:ascii="宋体" w:hAnsi="宋体"/>
          <w:color w:val="000000"/>
          <w:sz w:val="24"/>
        </w:rPr>
        <w:t>汽车电子技术</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【招生对象</w:t>
      </w:r>
      <w:bookmarkEnd w:id="3"/>
      <w:bookmarkEnd w:id="4"/>
      <w:bookmarkEnd w:id="5"/>
      <w:bookmarkEnd w:id="6"/>
      <w:r>
        <w:rPr>
          <w:rFonts w:hint="eastAsia" w:ascii="宋体" w:hAnsi="宋体"/>
          <w:color w:val="000000"/>
          <w:sz w:val="24"/>
        </w:rPr>
        <w:t>】</w:t>
      </w:r>
      <w:r>
        <w:rPr>
          <w:rFonts w:hint="eastAsia" w:ascii="宋体" w:hAnsi="宋体" w:cs="宋体"/>
          <w:color w:val="000000"/>
          <w:sz w:val="24"/>
        </w:rPr>
        <w:t>普通高中毕业生、中职毕业生</w:t>
      </w:r>
    </w:p>
    <w:p>
      <w:pPr>
        <w:adjustRightInd w:val="0"/>
        <w:snapToGrid w:val="0"/>
        <w:spacing w:line="520" w:lineRule="exact"/>
        <w:ind w:firstLine="480" w:firstLineChars="200"/>
        <w:jc w:val="left"/>
        <w:rPr>
          <w:rFonts w:ascii="宋体" w:hAnsi="宋体"/>
          <w:color w:val="000000"/>
          <w:sz w:val="24"/>
        </w:rPr>
      </w:pPr>
      <w:bookmarkStart w:id="7" w:name="_Toc211260317"/>
      <w:bookmarkStart w:id="8" w:name="_Toc211237112"/>
      <w:bookmarkStart w:id="9" w:name="_Toc211250612"/>
      <w:bookmarkStart w:id="10" w:name="_Toc211083933"/>
      <w:r>
        <w:rPr>
          <w:rFonts w:hint="eastAsia" w:ascii="宋体" w:hAnsi="宋体"/>
          <w:color w:val="000000"/>
          <w:sz w:val="24"/>
        </w:rPr>
        <w:t>【办学层次</w:t>
      </w:r>
      <w:bookmarkEnd w:id="7"/>
      <w:bookmarkEnd w:id="8"/>
      <w:bookmarkEnd w:id="9"/>
      <w:bookmarkEnd w:id="10"/>
      <w:r>
        <w:rPr>
          <w:rFonts w:hint="eastAsia" w:ascii="宋体" w:hAnsi="宋体"/>
          <w:color w:val="000000"/>
          <w:sz w:val="24"/>
        </w:rPr>
        <w:t>】高职（专科）</w:t>
      </w:r>
    </w:p>
    <w:p>
      <w:pPr>
        <w:adjustRightInd w:val="0"/>
        <w:snapToGrid w:val="0"/>
        <w:spacing w:line="520" w:lineRule="exact"/>
        <w:ind w:firstLine="480" w:firstLineChars="200"/>
        <w:jc w:val="left"/>
        <w:rPr>
          <w:rFonts w:ascii="宋体" w:hAnsi="宋体"/>
          <w:sz w:val="24"/>
        </w:rPr>
      </w:pPr>
      <w:bookmarkStart w:id="11" w:name="_Toc211250613"/>
      <w:bookmarkStart w:id="12" w:name="_Toc211237113"/>
      <w:bookmarkStart w:id="13" w:name="_Toc211260318"/>
      <w:bookmarkStart w:id="14" w:name="_Toc211083934"/>
      <w:r>
        <w:rPr>
          <w:rFonts w:hint="eastAsia" w:ascii="宋体" w:hAnsi="宋体"/>
          <w:color w:val="000000"/>
          <w:sz w:val="24"/>
        </w:rPr>
        <w:t>【学    制</w:t>
      </w:r>
      <w:bookmarkEnd w:id="11"/>
      <w:bookmarkEnd w:id="12"/>
      <w:bookmarkEnd w:id="13"/>
      <w:bookmarkEnd w:id="14"/>
      <w:r>
        <w:rPr>
          <w:rFonts w:hint="eastAsia" w:ascii="宋体" w:hAnsi="宋体"/>
          <w:color w:val="000000"/>
          <w:sz w:val="24"/>
        </w:rPr>
        <w:t>】基本学制3年</w:t>
      </w:r>
    </w:p>
    <w:bookmarkEnd w:id="2"/>
    <w:p>
      <w:pPr>
        <w:pStyle w:val="2"/>
        <w:numPr>
          <w:ilvl w:val="0"/>
          <w:numId w:val="1"/>
        </w:numPr>
        <w:spacing w:before="120" w:beforeLines="50" w:after="120" w:afterLines="50" w:line="520" w:lineRule="exact"/>
        <w:ind w:left="0" w:firstLine="562" w:firstLineChars="200"/>
      </w:pPr>
      <w:r>
        <w:rPr>
          <w:rFonts w:hint="eastAsia"/>
          <w:b/>
          <w:bCs/>
          <w:color w:val="auto"/>
          <w:sz w:val="28"/>
          <w:szCs w:val="28"/>
        </w:rPr>
        <w:t>培养目标</w:t>
      </w:r>
    </w:p>
    <w:p>
      <w:pPr>
        <w:spacing w:line="520" w:lineRule="exact"/>
        <w:ind w:firstLine="480" w:firstLineChars="200"/>
        <w:rPr>
          <w:rFonts w:ascii="宋体" w:hAnsi="宋体"/>
          <w:sz w:val="24"/>
        </w:rPr>
      </w:pPr>
      <w:r>
        <w:rPr>
          <w:rFonts w:hint="eastAsia" w:ascii="宋体" w:hAnsi="宋体"/>
          <w:color w:val="000000"/>
          <w:sz w:val="24"/>
        </w:rPr>
        <w:t>本专业培养适应所面向目标企业典型岗位需要，具有良好职业道德且可持续发展，掌握汽车构造和电工电子技术专业知识，能够熟练使用工具、诊断仪器、设备从事汽车电子零部件生产、检验、性能鉴定、售后服务、技术支持等工作，面向汽车整车、汽车电子零部件制造及汽车服务企业诸多领域的有理想、爱国家，讲文明、守纪律，能吃苦、稳基层、实践动手能力强的高素质技术技能型人才</w:t>
      </w:r>
    </w:p>
    <w:p>
      <w:pPr>
        <w:pStyle w:val="2"/>
        <w:numPr>
          <w:ilvl w:val="0"/>
          <w:numId w:val="1"/>
        </w:numPr>
        <w:spacing w:before="120" w:beforeLines="50" w:after="120" w:afterLines="50" w:line="520" w:lineRule="exact"/>
        <w:ind w:left="0" w:firstLine="562" w:firstLineChars="200"/>
        <w:rPr>
          <w:b/>
          <w:bCs/>
          <w:color w:val="auto"/>
          <w:sz w:val="28"/>
          <w:szCs w:val="28"/>
        </w:rPr>
      </w:pPr>
      <w:r>
        <w:rPr>
          <w:rFonts w:hint="eastAsia"/>
          <w:b/>
          <w:bCs/>
          <w:color w:val="auto"/>
          <w:sz w:val="28"/>
          <w:szCs w:val="28"/>
        </w:rPr>
        <w:t>职业面向及培养规格</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1．职业面向</w:t>
      </w:r>
    </w:p>
    <w:p>
      <w:pPr>
        <w:pStyle w:val="3"/>
        <w:spacing w:beforeLines="0" w:afterLines="0" w:line="520" w:lineRule="exact"/>
        <w:rPr>
          <w:color w:val="000000"/>
        </w:rPr>
      </w:pPr>
      <w:r>
        <w:rPr>
          <w:rFonts w:hint="eastAsia" w:ascii="宋体" w:hAnsi="宋体" w:cs="宋体"/>
          <w:color w:val="000000"/>
        </w:rPr>
        <w:t>表1岗位工作任务与职业能力分析表</w:t>
      </w:r>
    </w:p>
    <w:tbl>
      <w:tblPr>
        <w:tblStyle w:val="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650"/>
        <w:gridCol w:w="1606"/>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blHeader/>
          <w:jc w:val="center"/>
        </w:trPr>
        <w:tc>
          <w:tcPr>
            <w:tcW w:w="1162"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序号</w:t>
            </w:r>
          </w:p>
        </w:tc>
        <w:tc>
          <w:tcPr>
            <w:tcW w:w="165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核心工作岗位</w:t>
            </w:r>
          </w:p>
          <w:p>
            <w:pPr>
              <w:spacing w:line="400" w:lineRule="exact"/>
              <w:jc w:val="center"/>
              <w:rPr>
                <w:rFonts w:ascii="宋体" w:hAnsi="宋体"/>
                <w:b/>
                <w:color w:val="000000"/>
                <w:szCs w:val="21"/>
              </w:rPr>
            </w:pPr>
            <w:r>
              <w:rPr>
                <w:rFonts w:hint="eastAsia" w:ascii="宋体" w:hAnsi="宋体"/>
                <w:b/>
                <w:color w:val="000000"/>
                <w:szCs w:val="21"/>
              </w:rPr>
              <w:t>相关工作岗位</w:t>
            </w:r>
          </w:p>
        </w:tc>
        <w:tc>
          <w:tcPr>
            <w:tcW w:w="1606"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工作任务</w:t>
            </w:r>
          </w:p>
        </w:tc>
        <w:tc>
          <w:tcPr>
            <w:tcW w:w="411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知识、技能与素质要求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1650" w:type="dxa"/>
            <w:vAlign w:val="center"/>
          </w:tcPr>
          <w:p>
            <w:pPr>
              <w:spacing w:line="400" w:lineRule="exact"/>
              <w:jc w:val="left"/>
              <w:rPr>
                <w:rFonts w:ascii="宋体" w:hAnsi="宋体"/>
                <w:color w:val="000000"/>
                <w:szCs w:val="21"/>
              </w:rPr>
            </w:pPr>
            <w:r>
              <w:rPr>
                <w:rFonts w:hint="eastAsia" w:ascii="宋体" w:hAnsi="宋体" w:cs="宋体"/>
                <w:szCs w:val="21"/>
              </w:rPr>
              <w:t>汽车电子设备装配、调试、质检岗</w:t>
            </w:r>
          </w:p>
        </w:tc>
        <w:tc>
          <w:tcPr>
            <w:tcW w:w="1606" w:type="dxa"/>
            <w:vAlign w:val="center"/>
          </w:tcPr>
          <w:p>
            <w:pPr>
              <w:tabs>
                <w:tab w:val="left" w:pos="540"/>
                <w:tab w:val="left" w:pos="2340"/>
              </w:tabs>
              <w:spacing w:line="400" w:lineRule="exact"/>
              <w:jc w:val="left"/>
              <w:rPr>
                <w:rFonts w:ascii="宋体" w:hAnsi="宋体"/>
                <w:color w:val="000000"/>
                <w:szCs w:val="21"/>
              </w:rPr>
            </w:pPr>
          </w:p>
          <w:p>
            <w:pPr>
              <w:tabs>
                <w:tab w:val="left" w:pos="540"/>
                <w:tab w:val="left" w:pos="2340"/>
              </w:tabs>
              <w:spacing w:line="400" w:lineRule="exact"/>
              <w:jc w:val="left"/>
              <w:rPr>
                <w:rFonts w:ascii="宋体" w:hAnsi="宋体"/>
                <w:color w:val="000000"/>
                <w:szCs w:val="21"/>
              </w:rPr>
            </w:pPr>
          </w:p>
          <w:p>
            <w:pPr>
              <w:tabs>
                <w:tab w:val="left" w:pos="540"/>
                <w:tab w:val="left" w:pos="2340"/>
              </w:tabs>
              <w:spacing w:line="400" w:lineRule="exact"/>
              <w:jc w:val="left"/>
              <w:rPr>
                <w:rFonts w:ascii="宋体" w:hAnsi="宋体"/>
                <w:color w:val="000000"/>
                <w:szCs w:val="21"/>
              </w:rPr>
            </w:pPr>
          </w:p>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汽车电子设备装配、调试、质量检验</w:t>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color w:val="000000"/>
                <w:szCs w:val="21"/>
              </w:rPr>
            </w:pPr>
          </w:p>
          <w:p>
            <w:pPr>
              <w:rPr>
                <w:rFonts w:ascii="宋体" w:hAnsi="宋体"/>
                <w:szCs w:val="21"/>
              </w:rPr>
            </w:pPr>
          </w:p>
          <w:p>
            <w:pPr>
              <w:rPr>
                <w:rFonts w:ascii="宋体" w:hAnsi="宋体"/>
                <w:szCs w:val="21"/>
              </w:rPr>
            </w:pPr>
          </w:p>
          <w:p>
            <w:pPr>
              <w:rPr>
                <w:rFonts w:ascii="宋体" w:hAnsi="宋体"/>
                <w:color w:val="000000"/>
                <w:szCs w:val="21"/>
              </w:rPr>
            </w:pPr>
          </w:p>
          <w:p>
            <w:pPr>
              <w:rPr>
                <w:rFonts w:ascii="宋体" w:hAnsi="宋体"/>
                <w:szCs w:val="21"/>
              </w:rPr>
            </w:pP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A1—1：素质</w:t>
            </w:r>
          </w:p>
          <w:p>
            <w:pPr>
              <w:pStyle w:val="6"/>
              <w:shd w:val="clear" w:color="auto" w:fill="FFFFFF"/>
              <w:spacing w:line="400" w:lineRule="exact"/>
              <w:rPr>
                <w:color w:val="000000"/>
                <w:kern w:val="2"/>
                <w:sz w:val="21"/>
                <w:szCs w:val="21"/>
              </w:rPr>
            </w:pPr>
            <w:r>
              <w:rPr>
                <w:rFonts w:hint="eastAsia"/>
                <w:color w:val="000000"/>
                <w:kern w:val="2"/>
                <w:sz w:val="21"/>
                <w:szCs w:val="21"/>
              </w:rPr>
              <w:t>A1—1—1：具有正确的世界观、人生观、价值观。坚决拥护中国共产党领导，树立中国特色社会主义共同理想，践行社会主义核心价值观，崇尚宪法、遵守法律、遵规守纪；具有社会责任感和参与意识。</w:t>
            </w:r>
          </w:p>
          <w:p>
            <w:pPr>
              <w:pStyle w:val="6"/>
              <w:shd w:val="clear" w:color="auto" w:fill="FFFFFF"/>
              <w:spacing w:line="400" w:lineRule="exact"/>
              <w:rPr>
                <w:color w:val="000000"/>
                <w:kern w:val="2"/>
                <w:sz w:val="21"/>
                <w:szCs w:val="21"/>
              </w:rPr>
            </w:pPr>
            <w:r>
              <w:rPr>
                <w:rFonts w:hint="eastAsia"/>
                <w:color w:val="000000"/>
                <w:kern w:val="2"/>
                <w:sz w:val="21"/>
                <w:szCs w:val="21"/>
              </w:rPr>
              <w:t>A1—2：知识</w:t>
            </w:r>
          </w:p>
          <w:p>
            <w:pPr>
              <w:pStyle w:val="6"/>
              <w:shd w:val="clear" w:color="auto" w:fill="FFFFFF"/>
              <w:spacing w:line="400" w:lineRule="exact"/>
              <w:rPr>
                <w:color w:val="000000"/>
                <w:kern w:val="2"/>
                <w:sz w:val="21"/>
                <w:szCs w:val="21"/>
              </w:rPr>
            </w:pPr>
            <w:r>
              <w:rPr>
                <w:rFonts w:hint="eastAsia"/>
                <w:color w:val="000000"/>
                <w:kern w:val="2"/>
                <w:sz w:val="21"/>
                <w:szCs w:val="21"/>
              </w:rPr>
              <w:t>A1—2—1：掌握汽车构造、汽车运用知识。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A1—3：能力</w:t>
            </w:r>
          </w:p>
          <w:p>
            <w:pPr>
              <w:pStyle w:val="6"/>
              <w:shd w:val="clear" w:color="auto" w:fill="FFFFFF"/>
              <w:spacing w:line="400" w:lineRule="exact"/>
              <w:rPr>
                <w:color w:val="000000"/>
                <w:kern w:val="2"/>
                <w:sz w:val="21"/>
                <w:szCs w:val="21"/>
              </w:rPr>
            </w:pPr>
            <w:r>
              <w:rPr>
                <w:rFonts w:hint="eastAsia"/>
                <w:color w:val="000000"/>
                <w:kern w:val="2"/>
                <w:sz w:val="21"/>
                <w:szCs w:val="21"/>
              </w:rPr>
              <w:t>A1—3—1：具备具备语言文字阅读能力和同他人语言沟通技巧；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A1—3—2：具备汽车检测仪器、设备、工具的使用能力；</w:t>
            </w:r>
          </w:p>
          <w:p>
            <w:pPr>
              <w:pStyle w:val="6"/>
              <w:shd w:val="clear" w:color="auto" w:fill="FFFFFF"/>
              <w:spacing w:line="400" w:lineRule="exact"/>
              <w:rPr>
                <w:color w:val="000000"/>
                <w:kern w:val="2"/>
                <w:sz w:val="21"/>
                <w:szCs w:val="21"/>
              </w:rPr>
            </w:pPr>
            <w:r>
              <w:rPr>
                <w:rFonts w:hint="eastAsia"/>
                <w:color w:val="000000"/>
                <w:kern w:val="2"/>
                <w:sz w:val="21"/>
                <w:szCs w:val="21"/>
              </w:rPr>
              <w:t>A1—3—3：办公软硬件运用技能；</w:t>
            </w:r>
          </w:p>
          <w:p>
            <w:pPr>
              <w:pStyle w:val="6"/>
              <w:shd w:val="clear" w:color="auto" w:fill="FFFFFF"/>
              <w:spacing w:line="400" w:lineRule="exact"/>
              <w:rPr>
                <w:color w:val="000000"/>
                <w:kern w:val="2"/>
                <w:sz w:val="21"/>
                <w:szCs w:val="21"/>
              </w:rPr>
            </w:pPr>
            <w:r>
              <w:rPr>
                <w:rFonts w:hint="eastAsia"/>
                <w:color w:val="000000"/>
                <w:kern w:val="2"/>
                <w:sz w:val="21"/>
                <w:szCs w:val="21"/>
              </w:rPr>
              <w:t>A1—3—4：能识读机电设备图纸，了解PLC、单片机的使用。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汽车维修企业及品牌4S店的维修技师岗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维修技师接受维修任务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A2—1：素质</w:t>
            </w:r>
          </w:p>
          <w:p>
            <w:pPr>
              <w:pStyle w:val="6"/>
              <w:shd w:val="clear" w:color="auto" w:fill="FFFFFF"/>
              <w:spacing w:line="400" w:lineRule="exact"/>
              <w:rPr>
                <w:color w:val="000000"/>
                <w:kern w:val="2"/>
                <w:sz w:val="21"/>
                <w:szCs w:val="21"/>
              </w:rPr>
            </w:pPr>
            <w:r>
              <w:rPr>
                <w:rFonts w:hint="eastAsia"/>
                <w:color w:val="000000"/>
                <w:kern w:val="2"/>
                <w:sz w:val="21"/>
                <w:szCs w:val="21"/>
              </w:rPr>
              <w:t>A2—1—1：严谨、勤劳的工作作风；</w:t>
            </w:r>
          </w:p>
          <w:p>
            <w:pPr>
              <w:pStyle w:val="6"/>
              <w:shd w:val="clear" w:color="auto" w:fill="FFFFFF"/>
              <w:spacing w:line="400" w:lineRule="exact"/>
              <w:rPr>
                <w:color w:val="000000"/>
                <w:kern w:val="2"/>
                <w:sz w:val="21"/>
                <w:szCs w:val="21"/>
              </w:rPr>
            </w:pPr>
            <w:r>
              <w:rPr>
                <w:rFonts w:hint="eastAsia"/>
                <w:color w:val="000000"/>
                <w:kern w:val="2"/>
                <w:sz w:val="21"/>
                <w:szCs w:val="21"/>
              </w:rPr>
              <w:t>A2—1—2：精益求精的工匠精神。</w:t>
            </w:r>
          </w:p>
          <w:p>
            <w:pPr>
              <w:pStyle w:val="6"/>
              <w:shd w:val="clear" w:color="auto" w:fill="FFFFFF"/>
              <w:spacing w:line="400" w:lineRule="exact"/>
              <w:rPr>
                <w:color w:val="000000"/>
                <w:kern w:val="2"/>
                <w:sz w:val="21"/>
                <w:szCs w:val="21"/>
              </w:rPr>
            </w:pPr>
            <w:r>
              <w:rPr>
                <w:rFonts w:hint="eastAsia"/>
                <w:color w:val="000000"/>
                <w:kern w:val="2"/>
                <w:sz w:val="21"/>
                <w:szCs w:val="21"/>
              </w:rPr>
              <w:t>A2—2：知识</w:t>
            </w:r>
          </w:p>
          <w:p>
            <w:pPr>
              <w:pStyle w:val="6"/>
              <w:shd w:val="clear" w:color="auto" w:fill="FFFFFF"/>
              <w:spacing w:line="400" w:lineRule="exact"/>
              <w:rPr>
                <w:color w:val="000000"/>
                <w:kern w:val="2"/>
                <w:sz w:val="21"/>
                <w:szCs w:val="21"/>
              </w:rPr>
            </w:pPr>
            <w:r>
              <w:rPr>
                <w:rFonts w:hint="eastAsia"/>
                <w:color w:val="000000"/>
                <w:kern w:val="2"/>
                <w:sz w:val="21"/>
                <w:szCs w:val="21"/>
              </w:rPr>
              <w:t>A2—2—1：掌握汽车构造、汽车运用知识。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A2—3：技能</w:t>
            </w:r>
          </w:p>
          <w:p>
            <w:pPr>
              <w:pStyle w:val="6"/>
              <w:shd w:val="clear" w:color="auto" w:fill="FFFFFF"/>
              <w:spacing w:line="400" w:lineRule="exact"/>
              <w:rPr>
                <w:color w:val="000000"/>
                <w:kern w:val="2"/>
                <w:sz w:val="21"/>
                <w:szCs w:val="21"/>
              </w:rPr>
            </w:pPr>
            <w:r>
              <w:rPr>
                <w:rFonts w:hint="eastAsia"/>
                <w:color w:val="000000"/>
                <w:kern w:val="2"/>
                <w:sz w:val="21"/>
                <w:szCs w:val="21"/>
              </w:rPr>
              <w:t>A2—3—1：能识读机电设备图纸、鉴别汽车零部件质量；</w:t>
            </w:r>
          </w:p>
          <w:p>
            <w:pPr>
              <w:pStyle w:val="6"/>
              <w:shd w:val="clear" w:color="auto" w:fill="FFFFFF"/>
              <w:spacing w:line="400" w:lineRule="exact"/>
              <w:rPr>
                <w:color w:val="000000"/>
                <w:kern w:val="2"/>
                <w:sz w:val="21"/>
                <w:szCs w:val="21"/>
              </w:rPr>
            </w:pPr>
            <w:r>
              <w:rPr>
                <w:rFonts w:hint="eastAsia"/>
                <w:color w:val="000000"/>
                <w:kern w:val="2"/>
                <w:sz w:val="21"/>
                <w:szCs w:val="21"/>
              </w:rPr>
              <w:t>A2—3—2：具备汽车检测仪器、设备、工具的使用；</w:t>
            </w:r>
          </w:p>
          <w:p>
            <w:pPr>
              <w:pStyle w:val="6"/>
              <w:shd w:val="clear" w:color="auto" w:fill="FFFFFF"/>
              <w:spacing w:line="400" w:lineRule="exact"/>
              <w:rPr>
                <w:color w:val="000000"/>
                <w:kern w:val="2"/>
                <w:sz w:val="21"/>
                <w:szCs w:val="21"/>
              </w:rPr>
            </w:pPr>
            <w:r>
              <w:rPr>
                <w:rFonts w:hint="eastAsia"/>
                <w:color w:val="000000"/>
                <w:kern w:val="2"/>
                <w:sz w:val="21"/>
                <w:szCs w:val="21"/>
              </w:rPr>
              <w:t>A2—3—3：自学，可持续发展能力；</w:t>
            </w:r>
          </w:p>
          <w:p>
            <w:pPr>
              <w:pStyle w:val="6"/>
              <w:shd w:val="clear" w:color="auto" w:fill="FFFFFF"/>
              <w:spacing w:line="400" w:lineRule="exact"/>
              <w:rPr>
                <w:color w:val="000000"/>
                <w:kern w:val="2"/>
                <w:sz w:val="21"/>
                <w:szCs w:val="21"/>
              </w:rPr>
            </w:pPr>
            <w:r>
              <w:rPr>
                <w:rFonts w:hint="eastAsia"/>
                <w:color w:val="000000"/>
                <w:kern w:val="2"/>
                <w:sz w:val="21"/>
                <w:szCs w:val="21"/>
              </w:rPr>
              <w:t>A2—3—4：具备语言文字阅读能力，能与顾客良好的沟通与问诊，谙熟5S管理理念并身体力行。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汽车维修企业及品牌4S店的服务顾问岗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服务顾问受理客户接车任务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A3—1：素质</w:t>
            </w:r>
          </w:p>
          <w:p>
            <w:pPr>
              <w:pStyle w:val="6"/>
              <w:shd w:val="clear" w:color="auto" w:fill="FFFFFF"/>
              <w:spacing w:line="400" w:lineRule="exact"/>
              <w:rPr>
                <w:color w:val="000000"/>
                <w:kern w:val="2"/>
                <w:sz w:val="21"/>
                <w:szCs w:val="21"/>
              </w:rPr>
            </w:pPr>
            <w:r>
              <w:rPr>
                <w:rFonts w:hint="eastAsia"/>
                <w:color w:val="000000"/>
                <w:kern w:val="2"/>
                <w:sz w:val="21"/>
                <w:szCs w:val="21"/>
              </w:rPr>
              <w:t>A3—1—1：积极乐观的心态、热忱耐心的态度，实事求是的精神。</w:t>
            </w:r>
          </w:p>
          <w:p>
            <w:pPr>
              <w:pStyle w:val="6"/>
              <w:shd w:val="clear" w:color="auto" w:fill="FFFFFF"/>
              <w:spacing w:line="400" w:lineRule="exact"/>
              <w:rPr>
                <w:color w:val="000000"/>
                <w:kern w:val="2"/>
                <w:sz w:val="21"/>
                <w:szCs w:val="21"/>
              </w:rPr>
            </w:pPr>
            <w:r>
              <w:rPr>
                <w:rFonts w:hint="eastAsia"/>
                <w:color w:val="000000"/>
                <w:kern w:val="2"/>
                <w:sz w:val="21"/>
                <w:szCs w:val="21"/>
              </w:rPr>
              <w:t>A3—2：知识</w:t>
            </w:r>
          </w:p>
          <w:p>
            <w:pPr>
              <w:pStyle w:val="6"/>
              <w:shd w:val="clear" w:color="auto" w:fill="FFFFFF"/>
              <w:spacing w:line="400" w:lineRule="exact"/>
              <w:rPr>
                <w:color w:val="000000"/>
                <w:kern w:val="2"/>
                <w:sz w:val="21"/>
                <w:szCs w:val="21"/>
              </w:rPr>
            </w:pPr>
            <w:r>
              <w:rPr>
                <w:rFonts w:hint="eastAsia"/>
                <w:color w:val="000000"/>
                <w:kern w:val="2"/>
                <w:sz w:val="21"/>
                <w:szCs w:val="21"/>
              </w:rPr>
              <w:t>A3—2—1：掌握汽车构造、汽车运用知识。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A3—3：技能</w:t>
            </w:r>
          </w:p>
          <w:p>
            <w:pPr>
              <w:pStyle w:val="6"/>
              <w:shd w:val="clear" w:color="auto" w:fill="FFFFFF"/>
              <w:spacing w:line="400" w:lineRule="exact"/>
              <w:rPr>
                <w:color w:val="000000"/>
                <w:kern w:val="2"/>
                <w:sz w:val="21"/>
                <w:szCs w:val="21"/>
              </w:rPr>
            </w:pPr>
            <w:r>
              <w:rPr>
                <w:rFonts w:hint="eastAsia"/>
                <w:color w:val="000000"/>
                <w:kern w:val="2"/>
                <w:sz w:val="21"/>
                <w:szCs w:val="21"/>
              </w:rPr>
              <w:t>A2—3—1：具备汽车零部件认知、分类、储运保管技能；</w:t>
            </w:r>
          </w:p>
          <w:p>
            <w:pPr>
              <w:pStyle w:val="6"/>
              <w:shd w:val="clear" w:color="auto" w:fill="FFFFFF"/>
              <w:spacing w:line="400" w:lineRule="exact"/>
              <w:rPr>
                <w:color w:val="000000"/>
                <w:kern w:val="2"/>
                <w:sz w:val="21"/>
                <w:szCs w:val="21"/>
              </w:rPr>
            </w:pPr>
            <w:r>
              <w:rPr>
                <w:rFonts w:hint="eastAsia"/>
                <w:color w:val="000000"/>
                <w:kern w:val="2"/>
                <w:sz w:val="21"/>
                <w:szCs w:val="21"/>
              </w:rPr>
              <w:t>A3—3—2：具备语言文字阅读能力和同他人语言沟通技巧；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A3—3—3：办公软硬件运用技能。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4</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需要掌握汽车构造知识的汽车产业链中其他岗位</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整车或零部件销售岗</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A4—1：素质</w:t>
            </w:r>
          </w:p>
          <w:p>
            <w:pPr>
              <w:pStyle w:val="6"/>
              <w:shd w:val="clear" w:color="auto" w:fill="FFFFFF"/>
              <w:spacing w:line="400" w:lineRule="exact"/>
              <w:rPr>
                <w:color w:val="000000"/>
                <w:kern w:val="2"/>
                <w:sz w:val="21"/>
                <w:szCs w:val="21"/>
              </w:rPr>
            </w:pPr>
            <w:r>
              <w:rPr>
                <w:rFonts w:hint="eastAsia"/>
                <w:color w:val="000000"/>
                <w:kern w:val="2"/>
                <w:sz w:val="21"/>
                <w:szCs w:val="21"/>
              </w:rPr>
              <w:t>A4—1—1：积极乐观的心态、热忱耐心的态度，实事求是的精神，健全的情商。</w:t>
            </w:r>
          </w:p>
          <w:p>
            <w:pPr>
              <w:pStyle w:val="6"/>
              <w:shd w:val="clear" w:color="auto" w:fill="FFFFFF"/>
              <w:spacing w:line="400" w:lineRule="exact"/>
              <w:rPr>
                <w:color w:val="000000"/>
                <w:kern w:val="2"/>
                <w:sz w:val="21"/>
                <w:szCs w:val="21"/>
              </w:rPr>
            </w:pPr>
            <w:r>
              <w:rPr>
                <w:rFonts w:hint="eastAsia"/>
                <w:color w:val="000000"/>
                <w:kern w:val="2"/>
                <w:sz w:val="21"/>
                <w:szCs w:val="21"/>
              </w:rPr>
              <w:t>A4—2：知识</w:t>
            </w:r>
          </w:p>
          <w:p>
            <w:pPr>
              <w:pStyle w:val="6"/>
              <w:shd w:val="clear" w:color="auto" w:fill="FFFFFF"/>
              <w:spacing w:line="400" w:lineRule="exact"/>
              <w:rPr>
                <w:color w:val="000000"/>
                <w:kern w:val="2"/>
                <w:sz w:val="21"/>
                <w:szCs w:val="21"/>
              </w:rPr>
            </w:pPr>
            <w:r>
              <w:rPr>
                <w:rFonts w:hint="eastAsia"/>
                <w:color w:val="000000"/>
                <w:kern w:val="2"/>
                <w:sz w:val="21"/>
                <w:szCs w:val="21"/>
              </w:rPr>
              <w:t>A—2—1：掌握汽车构造、汽车运用知识、营销知识。</w:t>
            </w:r>
          </w:p>
          <w:p>
            <w:pPr>
              <w:pStyle w:val="6"/>
              <w:shd w:val="clear" w:color="auto" w:fill="FFFFFF"/>
              <w:spacing w:line="400" w:lineRule="exact"/>
              <w:rPr>
                <w:color w:val="000000"/>
                <w:kern w:val="2"/>
                <w:sz w:val="21"/>
                <w:szCs w:val="21"/>
              </w:rPr>
            </w:pPr>
            <w:r>
              <w:rPr>
                <w:rFonts w:hint="eastAsia"/>
                <w:color w:val="000000"/>
                <w:kern w:val="2"/>
                <w:sz w:val="21"/>
                <w:szCs w:val="21"/>
              </w:rPr>
              <w:t>A4—3：技能</w:t>
            </w:r>
          </w:p>
          <w:p>
            <w:pPr>
              <w:pStyle w:val="6"/>
              <w:shd w:val="clear" w:color="auto" w:fill="FFFFFF"/>
              <w:spacing w:line="400" w:lineRule="exact"/>
              <w:rPr>
                <w:color w:val="000000"/>
                <w:kern w:val="2"/>
                <w:sz w:val="21"/>
                <w:szCs w:val="21"/>
              </w:rPr>
            </w:pPr>
            <w:r>
              <w:rPr>
                <w:rFonts w:hint="eastAsia"/>
                <w:color w:val="000000"/>
                <w:kern w:val="2"/>
                <w:sz w:val="21"/>
                <w:szCs w:val="21"/>
              </w:rPr>
              <w:t>A4—3—1：具备语言文字阅读能力和同他人语言较强地沟通技巧；</w:t>
            </w:r>
          </w:p>
          <w:p>
            <w:pPr>
              <w:pStyle w:val="6"/>
              <w:shd w:val="clear" w:color="auto" w:fill="FFFFFF"/>
              <w:spacing w:line="400" w:lineRule="exact"/>
              <w:rPr>
                <w:color w:val="000000"/>
                <w:kern w:val="2"/>
                <w:sz w:val="21"/>
                <w:szCs w:val="21"/>
              </w:rPr>
            </w:pPr>
            <w:r>
              <w:rPr>
                <w:rFonts w:hint="eastAsia"/>
                <w:color w:val="000000"/>
                <w:kern w:val="2"/>
                <w:sz w:val="21"/>
                <w:szCs w:val="21"/>
              </w:rPr>
              <w:t>A4—3—2：社会压力耐受能力；</w:t>
            </w:r>
          </w:p>
          <w:p>
            <w:pPr>
              <w:pStyle w:val="6"/>
              <w:shd w:val="clear" w:color="auto" w:fill="FFFFFF"/>
              <w:spacing w:line="400" w:lineRule="exact"/>
              <w:rPr>
                <w:color w:val="000000"/>
                <w:kern w:val="2"/>
                <w:sz w:val="21"/>
                <w:szCs w:val="21"/>
              </w:rPr>
            </w:pPr>
            <w:r>
              <w:rPr>
                <w:rFonts w:hint="eastAsia"/>
                <w:color w:val="000000"/>
                <w:kern w:val="2"/>
                <w:sz w:val="21"/>
                <w:szCs w:val="21"/>
              </w:rPr>
              <w:t>A4—3—3：办公软硬件运用技能。</w:t>
            </w:r>
          </w:p>
        </w:tc>
      </w:tr>
    </w:tbl>
    <w:p>
      <w:pPr>
        <w:pStyle w:val="12"/>
        <w:rPr>
          <w:color w:val="000000"/>
        </w:rPr>
      </w:pPr>
    </w:p>
    <w:p>
      <w:pPr>
        <w:adjustRightInd w:val="0"/>
        <w:snapToGrid w:val="0"/>
        <w:spacing w:line="520" w:lineRule="exact"/>
        <w:ind w:firstLine="480" w:firstLineChars="200"/>
        <w:jc w:val="left"/>
        <w:rPr>
          <w:rFonts w:ascii="宋体" w:hAnsi="宋体"/>
          <w:color w:val="000000"/>
          <w:sz w:val="24"/>
        </w:rPr>
      </w:pPr>
      <w:bookmarkStart w:id="15" w:name="_Hlk48545584"/>
      <w:r>
        <w:rPr>
          <w:rFonts w:hint="eastAsia" w:ascii="宋体" w:hAnsi="宋体"/>
          <w:color w:val="000000"/>
          <w:sz w:val="24"/>
        </w:rPr>
        <w:t>2．培养规格</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应具备的素质：</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⑴具有良好的职业道德和职业素养；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⑵崇德向善、诚实守信、爱岗敬业，具有精益求精的工匠精神；</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⑶尊重劳动、热爱劳动，具有较强的实践能力；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⑷具有质量意识、绿色环保意识、安全意识、信息素养、创新精神；</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⑸具有较强的集体意识和团队合作精神，能够进行有效的人际沟通和协作，与社会、自然和谐共处；</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⑹具有职业生涯规划意识。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应学会的知识：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⑴掌握高素质技能人才所必需的文化基础知识及计算机技术的基础知识；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⑵掌握一门外语及汽车专业外语知识；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⑶掌握汽车发动机构造与检修的基础知识；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⑷掌握汽车底盘构造与检修的基本知识；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⑸掌握汽车电器设备构造与检修的基础知识；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⑹掌握汽车车身修复技术基本知识。</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应具备的通用能力：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⑴具有口语和书面表达能力；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⑵具有解决实际问题的能力；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⑶具有终身学习的能力；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⑷具有独立思考、逻辑推理、信息加工的能力；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⑸具有信息技术及办公设备运用的能力；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应具备的专业技术技能：</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⑴具有发动机拆装、检修、故障诊断与排除能力；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⑵具有汽车底盘拆装、检修、故障诊断与排除能力；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⑶具有汽车电器设备拆装、检修、故障诊断与排除能力；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⑷具有汽车美容、钣金、喷漆维修的初步能力。</w:t>
      </w:r>
      <w:bookmarkEnd w:id="15"/>
    </w:p>
    <w:p>
      <w:pPr>
        <w:pStyle w:val="2"/>
        <w:spacing w:before="120" w:beforeLines="50" w:after="120" w:afterLines="50" w:line="520" w:lineRule="exact"/>
        <w:ind w:firstLine="562" w:firstLineChars="200"/>
        <w:rPr>
          <w:b/>
          <w:bCs/>
          <w:sz w:val="28"/>
          <w:szCs w:val="28"/>
        </w:rPr>
      </w:pPr>
      <w:r>
        <w:rPr>
          <w:rFonts w:hint="eastAsia"/>
          <w:b/>
          <w:bCs/>
          <w:sz w:val="28"/>
          <w:szCs w:val="28"/>
        </w:rPr>
        <w:t>三、课程体系构建</w:t>
      </w:r>
    </w:p>
    <w:p>
      <w:pPr>
        <w:spacing w:line="520" w:lineRule="exact"/>
        <w:ind w:firstLine="480" w:firstLineChars="200"/>
        <w:rPr>
          <w:sz w:val="24"/>
          <w:szCs w:val="32"/>
        </w:rPr>
      </w:pPr>
      <w:r>
        <w:rPr>
          <w:rFonts w:hint="eastAsia"/>
          <w:sz w:val="24"/>
          <w:szCs w:val="32"/>
        </w:rPr>
        <w:t>遵循“坚持工学结合，注重知行合一，专业集群发展，教学资源共享”的原则，遵循职业教育规律和学生身心发展规律，把培育和践行社会主义核心价值观融入教育教学全过程。以职业能力培养为核心，构建以专业平台课程为基础，以专业技术课程（核心课程）主线，重点提升学生职业技能水平和就业、创业能力。</w:t>
      </w:r>
    </w:p>
    <w:p>
      <w:pPr>
        <w:spacing w:line="520" w:lineRule="exact"/>
        <w:ind w:firstLine="480" w:firstLineChars="200"/>
        <w:rPr>
          <w:sz w:val="24"/>
          <w:szCs w:val="32"/>
        </w:rPr>
      </w:pPr>
      <w:r>
        <w:rPr>
          <w:rFonts w:hint="eastAsia"/>
          <w:sz w:val="24"/>
          <w:szCs w:val="32"/>
        </w:rPr>
        <w:t>通过调研确定职业岗位，依据岗位群的主要工作过程，总结出若干典型工作任务（典型工作任务是指能反映职业岗位特点的一个独立的、完整的工作环节）。再从典型工作任务中分析岗位应具有的素质、知识、能力。根据典型工作任务确定行动领域，再将行动领域转化为可以进行教学实施的学习领域，从而构建完整的专业课程体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1.典型工作任务与素质、知识、能力分析</w:t>
      </w:r>
    </w:p>
    <w:p>
      <w:pPr>
        <w:ind w:firstLine="420" w:firstLineChars="200"/>
        <w:jc w:val="center"/>
      </w:pPr>
      <w:r>
        <w:rPr>
          <w:rFonts w:hint="eastAsia"/>
        </w:rPr>
        <w:t>表2 工作任务与素质、知识、能力分析表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6"/>
        <w:gridCol w:w="5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369"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典型工作任务</w:t>
            </w:r>
          </w:p>
        </w:tc>
        <w:tc>
          <w:tcPr>
            <w:tcW w:w="5159"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素质、知识、能力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 汽车电子设备装配调试质检岗</w:t>
            </w:r>
          </w:p>
        </w:tc>
        <w:tc>
          <w:tcPr>
            <w:tcW w:w="515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A1—1—1：具有正确的世界观、人生观、价值观。坚决拥护中国共产党领导，树立中国特色社会主义共同理想，践行社会主义核心价值观，崇尚宪法、遵守法律、遵规守纪；具有社会责任感和参与意识。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A1—2：知识</w:t>
            </w:r>
          </w:p>
          <w:p>
            <w:pPr>
              <w:spacing w:line="400" w:lineRule="exact"/>
              <w:rPr>
                <w:rFonts w:ascii="宋体" w:hAnsi="宋体" w:cs="宋体"/>
                <w:color w:val="000000"/>
                <w:szCs w:val="21"/>
              </w:rPr>
            </w:pPr>
            <w:r>
              <w:rPr>
                <w:rFonts w:hint="eastAsia" w:ascii="宋体" w:hAnsi="宋体"/>
                <w:color w:val="000000"/>
                <w:szCs w:val="21"/>
              </w:rPr>
              <w:t xml:space="preserve">    A1—2—1：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A1—3：能力</w:t>
            </w:r>
          </w:p>
          <w:p>
            <w:pPr>
              <w:adjustRightInd w:val="0"/>
              <w:snapToGrid w:val="0"/>
              <w:spacing w:line="400" w:lineRule="exact"/>
              <w:ind w:firstLine="420" w:firstLineChars="200"/>
              <w:jc w:val="left"/>
              <w:outlineLvl w:val="0"/>
              <w:rPr>
                <w:rFonts w:ascii="宋体" w:hAnsi="宋体"/>
                <w:color w:val="000000"/>
                <w:szCs w:val="21"/>
              </w:rPr>
            </w:pPr>
            <w:r>
              <w:rPr>
                <w:rFonts w:hint="eastAsia" w:ascii="宋体" w:hAnsi="宋体"/>
                <w:color w:val="000000"/>
                <w:szCs w:val="21"/>
              </w:rPr>
              <w:t>A1—3—1：具备具备语言文字阅读能力和同他人语言沟通技巧；</w:t>
            </w:r>
          </w:p>
          <w:p>
            <w:pPr>
              <w:adjustRightInd w:val="0"/>
              <w:snapToGrid w:val="0"/>
              <w:spacing w:line="400" w:lineRule="exact"/>
              <w:ind w:firstLine="420" w:firstLineChars="200"/>
              <w:jc w:val="left"/>
              <w:outlineLvl w:val="0"/>
              <w:rPr>
                <w:rFonts w:ascii="宋体" w:hAnsi="宋体"/>
                <w:color w:val="000000"/>
                <w:szCs w:val="21"/>
              </w:rPr>
            </w:pPr>
            <w:r>
              <w:rPr>
                <w:rFonts w:hint="eastAsia" w:ascii="宋体" w:hAnsi="宋体"/>
                <w:color w:val="000000"/>
                <w:szCs w:val="21"/>
              </w:rPr>
              <w:t>A1—3—2：具备汽车检测仪器、设备、工具的使用能力；</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A1—3—3：</w:t>
            </w:r>
            <w:r>
              <w:rPr>
                <w:rFonts w:hint="eastAsia" w:ascii="宋体" w:hAnsi="宋体" w:cs="宋体"/>
                <w:color w:val="000000"/>
                <w:szCs w:val="21"/>
              </w:rPr>
              <w:t>办公软硬件运用技能；</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A1—3—4：</w:t>
            </w:r>
            <w:r>
              <w:rPr>
                <w:rFonts w:hint="eastAsia" w:ascii="宋体" w:hAnsi="宋体" w:cs="宋体"/>
                <w:color w:val="000000"/>
                <w:szCs w:val="21"/>
              </w:rPr>
              <w:t>能识读机电设备图纸，了解PLC、单片机的使用。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维修技师接受维修任务</w:t>
            </w:r>
          </w:p>
        </w:tc>
        <w:tc>
          <w:tcPr>
            <w:tcW w:w="515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A2—1—1：</w:t>
            </w:r>
            <w:r>
              <w:rPr>
                <w:rFonts w:hint="eastAsia" w:ascii="宋体" w:hAnsi="宋体" w:cs="宋体"/>
                <w:color w:val="000000"/>
                <w:szCs w:val="21"/>
              </w:rPr>
              <w:t>严谨、勤劳的工作作风；</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A2—1—2：精益求精的工匠精神。</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A2—2：知识</w:t>
            </w:r>
          </w:p>
          <w:p>
            <w:pPr>
              <w:spacing w:line="400" w:lineRule="exact"/>
              <w:rPr>
                <w:rFonts w:ascii="宋体" w:hAnsi="宋体" w:cs="宋体"/>
                <w:color w:val="000000"/>
                <w:szCs w:val="21"/>
              </w:rPr>
            </w:pPr>
            <w:r>
              <w:rPr>
                <w:rFonts w:hint="eastAsia" w:ascii="宋体" w:hAnsi="宋体"/>
                <w:color w:val="000000"/>
                <w:szCs w:val="21"/>
              </w:rPr>
              <w:t xml:space="preserve">    A2—2—1：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A2—3：能力</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A2—3—1：</w:t>
            </w:r>
            <w:r>
              <w:rPr>
                <w:rFonts w:hint="eastAsia" w:ascii="宋体" w:hAnsi="宋体" w:cs="宋体"/>
                <w:color w:val="000000"/>
                <w:szCs w:val="21"/>
              </w:rPr>
              <w:t>能识读机电设备图纸、鉴别汽车零部件质量；</w:t>
            </w:r>
          </w:p>
          <w:p>
            <w:pPr>
              <w:spacing w:line="400" w:lineRule="exact"/>
              <w:ind w:firstLine="420" w:firstLineChars="200"/>
              <w:rPr>
                <w:rFonts w:ascii="宋体" w:hAnsi="宋体" w:cs="宋体"/>
                <w:color w:val="000000"/>
                <w:szCs w:val="21"/>
              </w:rPr>
            </w:pPr>
            <w:r>
              <w:rPr>
                <w:rFonts w:hint="eastAsia" w:ascii="宋体" w:hAnsi="宋体"/>
                <w:color w:val="000000"/>
                <w:szCs w:val="21"/>
              </w:rPr>
              <w:t>A2—3—2：</w:t>
            </w:r>
            <w:r>
              <w:rPr>
                <w:rFonts w:hint="eastAsia" w:ascii="宋体" w:hAnsi="宋体" w:cs="宋体"/>
                <w:color w:val="000000"/>
                <w:szCs w:val="21"/>
              </w:rPr>
              <w:t>具备汽车检测仪器、设备、工具的使用；</w:t>
            </w:r>
          </w:p>
          <w:p>
            <w:pPr>
              <w:spacing w:line="400" w:lineRule="exact"/>
              <w:ind w:firstLine="420" w:firstLineChars="200"/>
              <w:rPr>
                <w:rFonts w:ascii="宋体" w:hAnsi="宋体" w:cs="宋体"/>
                <w:color w:val="000000"/>
                <w:szCs w:val="21"/>
              </w:rPr>
            </w:pPr>
            <w:r>
              <w:rPr>
                <w:rFonts w:hint="eastAsia" w:ascii="宋体" w:hAnsi="宋体"/>
                <w:color w:val="000000"/>
                <w:szCs w:val="21"/>
              </w:rPr>
              <w:t>A2—3—3：</w:t>
            </w:r>
            <w:r>
              <w:rPr>
                <w:rFonts w:hint="eastAsia" w:ascii="宋体" w:hAnsi="宋体" w:cs="宋体"/>
                <w:color w:val="000000"/>
                <w:szCs w:val="21"/>
              </w:rPr>
              <w:t>自学，可持续发展能力；</w:t>
            </w:r>
          </w:p>
          <w:p>
            <w:pPr>
              <w:spacing w:line="400" w:lineRule="exact"/>
              <w:ind w:firstLine="420" w:firstLineChars="200"/>
              <w:rPr>
                <w:rFonts w:ascii="宋体" w:hAnsi="宋体" w:cs="宋体"/>
                <w:color w:val="000000"/>
                <w:szCs w:val="21"/>
              </w:rPr>
            </w:pPr>
            <w:r>
              <w:rPr>
                <w:rFonts w:hint="eastAsia" w:ascii="宋体" w:hAnsi="宋体"/>
                <w:color w:val="000000"/>
                <w:szCs w:val="21"/>
              </w:rPr>
              <w:t>A2—3—4：</w:t>
            </w:r>
            <w:r>
              <w:rPr>
                <w:rFonts w:hint="eastAsia" w:ascii="宋体" w:hAnsi="宋体" w:cs="宋体"/>
                <w:color w:val="000000"/>
                <w:szCs w:val="21"/>
              </w:rPr>
              <w:t>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 xml:space="preserve"> 服务顾问受理客户接车任务</w:t>
            </w:r>
          </w:p>
        </w:tc>
        <w:tc>
          <w:tcPr>
            <w:tcW w:w="515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A3—1：素质</w:t>
            </w:r>
          </w:p>
          <w:p>
            <w:pPr>
              <w:adjustRightInd w:val="0"/>
              <w:snapToGrid w:val="0"/>
              <w:spacing w:line="400" w:lineRule="exact"/>
              <w:ind w:firstLine="420"/>
              <w:jc w:val="left"/>
              <w:outlineLvl w:val="0"/>
              <w:rPr>
                <w:rFonts w:ascii="宋体" w:hAnsi="宋体" w:cs="宋体"/>
                <w:color w:val="000000"/>
                <w:szCs w:val="21"/>
              </w:rPr>
            </w:pPr>
            <w:r>
              <w:rPr>
                <w:rFonts w:hint="eastAsia" w:ascii="宋体" w:hAnsi="宋体"/>
                <w:color w:val="000000"/>
                <w:szCs w:val="21"/>
              </w:rPr>
              <w:t>A3—1—1：</w:t>
            </w:r>
            <w:r>
              <w:rPr>
                <w:rFonts w:hint="eastAsia" w:ascii="宋体" w:hAnsi="宋体" w:cs="宋体"/>
                <w:color w:val="000000"/>
                <w:szCs w:val="21"/>
              </w:rPr>
              <w:t>积极乐观的心态、热忱耐心的态度，实事求是的精神，严谨、勤劳的工作作风。</w:t>
            </w:r>
          </w:p>
          <w:p>
            <w:pPr>
              <w:adjustRightInd w:val="0"/>
              <w:snapToGrid w:val="0"/>
              <w:spacing w:line="400" w:lineRule="exact"/>
              <w:ind w:firstLine="420"/>
              <w:jc w:val="left"/>
              <w:outlineLvl w:val="0"/>
              <w:rPr>
                <w:rFonts w:ascii="宋体" w:hAnsi="宋体"/>
                <w:color w:val="000000"/>
                <w:szCs w:val="21"/>
              </w:rPr>
            </w:pPr>
            <w:r>
              <w:rPr>
                <w:rFonts w:hint="eastAsia" w:ascii="宋体" w:hAnsi="宋体"/>
                <w:color w:val="000000"/>
                <w:szCs w:val="21"/>
              </w:rPr>
              <w:t>A3—2：知识</w:t>
            </w:r>
          </w:p>
          <w:p>
            <w:pPr>
              <w:spacing w:line="400" w:lineRule="exact"/>
              <w:rPr>
                <w:rFonts w:ascii="宋体" w:hAnsi="宋体" w:cs="宋体"/>
                <w:color w:val="000000"/>
                <w:szCs w:val="21"/>
              </w:rPr>
            </w:pPr>
            <w:r>
              <w:rPr>
                <w:rFonts w:hint="eastAsia" w:ascii="宋体" w:hAnsi="宋体"/>
                <w:color w:val="000000"/>
                <w:szCs w:val="21"/>
              </w:rPr>
              <w:t xml:space="preserve">    A3—2—1：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A3—3：能力</w:t>
            </w:r>
          </w:p>
          <w:p>
            <w:pPr>
              <w:adjustRightInd w:val="0"/>
              <w:snapToGrid w:val="0"/>
              <w:spacing w:line="400" w:lineRule="exact"/>
              <w:ind w:firstLine="420" w:firstLineChars="200"/>
              <w:jc w:val="left"/>
              <w:outlineLvl w:val="0"/>
              <w:rPr>
                <w:rFonts w:ascii="宋体" w:hAnsi="宋体"/>
                <w:color w:val="000000"/>
                <w:szCs w:val="21"/>
              </w:rPr>
            </w:pPr>
            <w:r>
              <w:rPr>
                <w:rFonts w:hint="eastAsia" w:ascii="宋体" w:hAnsi="宋体"/>
                <w:color w:val="000000"/>
                <w:szCs w:val="21"/>
              </w:rPr>
              <w:t>A2—3—1：</w:t>
            </w:r>
            <w:r>
              <w:rPr>
                <w:rFonts w:hint="eastAsia" w:ascii="宋体" w:hAnsi="宋体" w:cs="宋体"/>
                <w:color w:val="000000"/>
                <w:szCs w:val="21"/>
              </w:rPr>
              <w:t>具备汽车故障初步判断、故障分类、简单故障排除技能；</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A3—3—2：</w:t>
            </w:r>
            <w:r>
              <w:rPr>
                <w:rFonts w:hint="eastAsia" w:ascii="宋体" w:hAnsi="宋体" w:cs="宋体"/>
                <w:color w:val="000000"/>
                <w:szCs w:val="21"/>
              </w:rPr>
              <w:t>具备语言文字阅读能力和同他人语言沟通技巧；</w:t>
            </w:r>
          </w:p>
          <w:p>
            <w:pPr>
              <w:spacing w:line="400" w:lineRule="exact"/>
              <w:ind w:firstLine="420" w:firstLineChars="200"/>
              <w:rPr>
                <w:rFonts w:ascii="宋体" w:hAnsi="宋体" w:cs="宋体"/>
                <w:color w:val="000000"/>
                <w:szCs w:val="21"/>
              </w:rPr>
            </w:pPr>
            <w:r>
              <w:rPr>
                <w:rFonts w:hint="eastAsia" w:ascii="宋体" w:hAnsi="宋体"/>
                <w:color w:val="000000"/>
                <w:szCs w:val="21"/>
              </w:rPr>
              <w:t>A3—3—3：</w:t>
            </w:r>
            <w:r>
              <w:rPr>
                <w:rFonts w:hint="eastAsia" w:ascii="宋体" w:hAnsi="宋体" w:cs="宋体"/>
                <w:color w:val="000000"/>
                <w:szCs w:val="21"/>
              </w:rPr>
              <w:t>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shd w:val="clear" w:color="auto" w:fill="auto"/>
          </w:tcPr>
          <w:p>
            <w:pPr>
              <w:spacing w:line="400" w:lineRule="exact"/>
            </w:pPr>
            <w:r>
              <w:rPr>
                <w:rFonts w:hint="eastAsia" w:ascii="宋体" w:hAnsi="宋体"/>
                <w:color w:val="000000"/>
                <w:szCs w:val="21"/>
              </w:rPr>
              <w:t>D4:整车或汽车电子零部件销售岗</w:t>
            </w:r>
          </w:p>
        </w:tc>
        <w:tc>
          <w:tcPr>
            <w:tcW w:w="5159" w:type="dxa"/>
            <w:shd w:val="clear" w:color="auto" w:fill="auto"/>
          </w:tcPr>
          <w:p>
            <w:pPr>
              <w:spacing w:line="400" w:lineRule="exact"/>
            </w:pPr>
            <w:r>
              <w:rPr>
                <w:rFonts w:hint="eastAsia"/>
              </w:rPr>
              <w:t>A4—1：素质</w:t>
            </w:r>
          </w:p>
          <w:p>
            <w:pPr>
              <w:spacing w:line="400" w:lineRule="exact"/>
            </w:pPr>
            <w:r>
              <w:rPr>
                <w:rFonts w:hint="eastAsia"/>
              </w:rPr>
              <w:t xml:space="preserve">    A4—1—1：积极乐观的心态、热忱耐心的态度，实事求是的精神，健全的情商。</w:t>
            </w:r>
          </w:p>
          <w:p>
            <w:pPr>
              <w:spacing w:line="400" w:lineRule="exact"/>
            </w:pPr>
            <w:r>
              <w:rPr>
                <w:rFonts w:hint="eastAsia"/>
              </w:rPr>
              <w:t>A4—2：知识</w:t>
            </w:r>
          </w:p>
          <w:p>
            <w:pPr>
              <w:spacing w:line="400" w:lineRule="exact"/>
            </w:pPr>
            <w:r>
              <w:rPr>
                <w:rFonts w:hint="eastAsia"/>
              </w:rPr>
              <w:t xml:space="preserve">    A—2—1：掌握汽车构造、汽车运用知识、营销知识。</w:t>
            </w:r>
          </w:p>
          <w:p>
            <w:pPr>
              <w:spacing w:line="400" w:lineRule="exact"/>
            </w:pPr>
            <w:r>
              <w:rPr>
                <w:rFonts w:hint="eastAsia"/>
              </w:rPr>
              <w:t>A4—3：能力</w:t>
            </w:r>
          </w:p>
          <w:p>
            <w:pPr>
              <w:spacing w:line="400" w:lineRule="exact"/>
            </w:pPr>
            <w:r>
              <w:rPr>
                <w:rFonts w:hint="eastAsia"/>
              </w:rPr>
              <w:t>A4—3—1：具备语言文字阅读能力和同他人语言较强地沟通技巧；</w:t>
            </w:r>
          </w:p>
          <w:p>
            <w:pPr>
              <w:spacing w:line="400" w:lineRule="exact"/>
            </w:pPr>
            <w:r>
              <w:rPr>
                <w:rFonts w:hint="eastAsia"/>
              </w:rPr>
              <w:t>A4—3—2：社会压力耐受能力；</w:t>
            </w:r>
          </w:p>
          <w:p>
            <w:pPr>
              <w:spacing w:line="400" w:lineRule="exact"/>
            </w:pPr>
            <w:r>
              <w:rPr>
                <w:rFonts w:hint="eastAsia"/>
              </w:rPr>
              <w:t>A4—3—3：办公软硬件运用技能。</w:t>
            </w:r>
          </w:p>
        </w:tc>
      </w:tr>
    </w:tbl>
    <w:p>
      <w:pPr>
        <w:ind w:firstLine="420" w:firstLineChars="200"/>
      </w:pP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2.专业学习领域核心课程设置</w:t>
      </w:r>
    </w:p>
    <w:p>
      <w:pPr>
        <w:ind w:firstLine="420" w:firstLineChars="200"/>
        <w:jc w:val="center"/>
      </w:pPr>
      <w:r>
        <w:rPr>
          <w:rFonts w:hint="eastAsia"/>
        </w:rPr>
        <w:t>表3专业学习领域核心课程设置表</w:t>
      </w:r>
    </w:p>
    <w:tbl>
      <w:tblPr>
        <w:tblStyle w:val="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1842"/>
        <w:gridCol w:w="1560"/>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80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专业核心课程</w:t>
            </w:r>
          </w:p>
        </w:tc>
        <w:tc>
          <w:tcPr>
            <w:tcW w:w="184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素质、知识、能力</w:t>
            </w:r>
          </w:p>
        </w:tc>
        <w:tc>
          <w:tcPr>
            <w:tcW w:w="156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典型工作任务</w:t>
            </w:r>
          </w:p>
        </w:tc>
        <w:tc>
          <w:tcPr>
            <w:tcW w:w="2409"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主要教学内容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DH1</w:t>
            </w:r>
            <w:r>
              <w:rPr>
                <w:rFonts w:hint="eastAsia" w:ascii="宋体" w:hAnsi="宋体" w:cs="宋体"/>
                <w:color w:val="000000"/>
                <w:szCs w:val="21"/>
              </w:rPr>
              <w:t>汽车发动机构造与检修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J1—1：汽车总体认识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J1—2：冷却系检修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J1—3：润滑系检修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J1—4：曲柄连杆机构检修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J1—5：配气机构检修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J1—6：燃料供给系检修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2</w:t>
            </w:r>
            <w:r>
              <w:rPr>
                <w:rFonts w:hint="eastAsia" w:ascii="宋体" w:hAnsi="宋体" w:cs="宋体"/>
                <w:color w:val="000000"/>
                <w:szCs w:val="21"/>
              </w:rPr>
              <w:t>汽车底盘构造与检修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J2—1：传动系检修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J2—2：行驶系检修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J2—3：转向系检修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J2—4：制动系检修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3</w:t>
            </w:r>
            <w:r>
              <w:rPr>
                <w:rFonts w:hint="eastAsia" w:ascii="宋体" w:hAnsi="宋体" w:cs="宋体"/>
                <w:color w:val="000000"/>
                <w:szCs w:val="21"/>
              </w:rPr>
              <w:t>汽车电器设备构造与检修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J3—1：电源系统检修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J3—2：起动系统检修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J3—3：灯光、信号、仪表电路系统检修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J3—4：舒适娱乐系统检修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4</w:t>
            </w:r>
            <w:r>
              <w:rPr>
                <w:rFonts w:hint="eastAsia" w:ascii="宋体" w:hAnsi="宋体" w:cs="宋体"/>
                <w:color w:val="000000"/>
                <w:szCs w:val="21"/>
              </w:rPr>
              <w:t>汽车单片机应用技术</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J4—1汽车单片机硬件</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J4—2：汽车单片机语言</w:t>
            </w:r>
          </w:p>
          <w:p>
            <w:pPr>
              <w:adjustRightInd w:val="0"/>
              <w:snapToGrid w:val="0"/>
              <w:spacing w:line="400" w:lineRule="exact"/>
              <w:jc w:val="left"/>
              <w:outlineLvl w:val="0"/>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5</w:t>
            </w:r>
            <w:r>
              <w:rPr>
                <w:rFonts w:hint="eastAsia" w:ascii="宋体" w:hAnsi="宋体" w:cs="宋体"/>
                <w:color w:val="000000"/>
                <w:szCs w:val="21"/>
              </w:rPr>
              <w:t>汽车检测与故障诊断</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D2</w:t>
            </w:r>
            <w:r>
              <w:rPr>
                <w:rFonts w:hint="eastAsia" w:ascii="宋体" w:hAnsi="宋体"/>
                <w:color w:val="000000"/>
                <w:szCs w:val="21"/>
              </w:rPr>
              <w:t xml:space="preserve">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J5—1：发动机检测</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J5—2：底盘系统检测</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J5—3：电器系统检测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6可编程控制技术P</w:t>
            </w:r>
            <w:r>
              <w:rPr>
                <w:rFonts w:ascii="宋体" w:hAnsi="宋体"/>
                <w:color w:val="000000"/>
                <w:szCs w:val="21"/>
              </w:rPr>
              <w:t>LC</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J6—1：P</w:t>
            </w:r>
            <w:r>
              <w:rPr>
                <w:rFonts w:ascii="宋体" w:hAnsi="宋体"/>
                <w:color w:val="000000"/>
                <w:szCs w:val="21"/>
              </w:rPr>
              <w:t>LC</w:t>
            </w:r>
            <w:r>
              <w:rPr>
                <w:rFonts w:hint="eastAsia" w:ascii="宋体" w:hAnsi="宋体"/>
                <w:color w:val="000000"/>
                <w:szCs w:val="21"/>
              </w:rPr>
              <w:t>应用软件的安装与使用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J6—2：PLC指令功能及编程</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J6—3：PLC编程技术</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J6—3：PLC典型控制系统设计</w:t>
            </w:r>
          </w:p>
        </w:tc>
      </w:tr>
    </w:tbl>
    <w:p>
      <w:pPr>
        <w:spacing w:line="400" w:lineRule="exact"/>
        <w:ind w:firstLine="420" w:firstLineChars="200"/>
      </w:pPr>
    </w:p>
    <w:p>
      <w:pPr>
        <w:pStyle w:val="2"/>
        <w:spacing w:before="120" w:beforeLines="50" w:after="120" w:afterLines="50" w:line="520" w:lineRule="exact"/>
        <w:ind w:firstLine="562" w:firstLineChars="200"/>
        <w:rPr>
          <w:b/>
          <w:bCs/>
          <w:sz w:val="28"/>
          <w:szCs w:val="28"/>
        </w:rPr>
      </w:pPr>
      <w:r>
        <w:rPr>
          <w:rFonts w:hint="eastAsia"/>
          <w:b/>
          <w:bCs/>
          <w:sz w:val="28"/>
          <w:szCs w:val="28"/>
        </w:rPr>
        <w:t>四、基本实训条件</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1.校内实训基地</w:t>
      </w:r>
    </w:p>
    <w:p>
      <w:pPr>
        <w:spacing w:line="520" w:lineRule="exact"/>
        <w:ind w:firstLine="480" w:firstLineChars="200"/>
        <w:rPr>
          <w:sz w:val="24"/>
          <w:szCs w:val="32"/>
        </w:rPr>
      </w:pPr>
      <w:r>
        <w:rPr>
          <w:rFonts w:hint="eastAsia"/>
          <w:sz w:val="24"/>
          <w:szCs w:val="32"/>
        </w:rPr>
        <w:t>说明：实训室设置和设备数量，参照中华人民共和国教育行业标准JY/T 0458-2014《职业院校汽车运用与维修类相关专业仪器设备装备规范》（教育部2014.07.31发布）。</w:t>
      </w:r>
    </w:p>
    <w:p>
      <w:pPr>
        <w:jc w:val="center"/>
      </w:pPr>
      <w:r>
        <w:rPr>
          <w:rFonts w:hint="eastAsia"/>
        </w:rPr>
        <w:t>表4 校内实训条件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580"/>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trPr>
        <w:tc>
          <w:tcPr>
            <w:tcW w:w="720"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序号</w:t>
            </w:r>
          </w:p>
        </w:tc>
        <w:tc>
          <w:tcPr>
            <w:tcW w:w="2582"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实训室名称</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实训功能</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主要设备名称</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582" w:type="dxa"/>
            <w:shd w:val="clear" w:color="auto" w:fill="auto"/>
            <w:vAlign w:val="center"/>
          </w:tcPr>
          <w:p>
            <w:pPr>
              <w:spacing w:line="400" w:lineRule="exact"/>
              <w:rPr>
                <w:szCs w:val="21"/>
              </w:rPr>
            </w:pPr>
            <w:r>
              <w:rPr>
                <w:rFonts w:hint="eastAsia"/>
                <w:szCs w:val="21"/>
              </w:rPr>
              <w:t>钳工实训室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零件制作、装配</w:t>
            </w:r>
          </w:p>
        </w:tc>
        <w:tc>
          <w:tcPr>
            <w:tcW w:w="1706" w:type="dxa"/>
            <w:shd w:val="clear" w:color="auto" w:fill="auto"/>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钳工操作台</w:t>
            </w:r>
          </w:p>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钳工工具</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582" w:type="dxa"/>
            <w:shd w:val="clear" w:color="auto" w:fill="auto"/>
            <w:vAlign w:val="center"/>
          </w:tcPr>
          <w:p>
            <w:pPr>
              <w:spacing w:line="400" w:lineRule="exact"/>
              <w:rPr>
                <w:szCs w:val="21"/>
              </w:rPr>
            </w:pPr>
            <w:r>
              <w:rPr>
                <w:rFonts w:hint="eastAsia"/>
                <w:szCs w:val="21"/>
              </w:rPr>
              <w:t>P</w:t>
            </w:r>
            <w:r>
              <w:rPr>
                <w:szCs w:val="21"/>
              </w:rPr>
              <w:t>LC</w:t>
            </w:r>
            <w:r>
              <w:rPr>
                <w:rFonts w:hint="eastAsia"/>
                <w:szCs w:val="21"/>
              </w:rPr>
              <w:t>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ascii="宋体" w:hAnsi="宋体" w:cs="宋体"/>
                <w:color w:val="000000"/>
                <w:szCs w:val="21"/>
              </w:rPr>
              <w:t>PLC</w:t>
            </w:r>
            <w:r>
              <w:rPr>
                <w:rFonts w:hint="eastAsia" w:ascii="宋体" w:hAnsi="宋体" w:cs="宋体"/>
                <w:color w:val="000000"/>
                <w:szCs w:val="21"/>
              </w:rPr>
              <w:t>程序编写</w:t>
            </w:r>
          </w:p>
        </w:tc>
        <w:tc>
          <w:tcPr>
            <w:tcW w:w="1706" w:type="dxa"/>
            <w:shd w:val="clear" w:color="auto" w:fill="auto"/>
            <w:vAlign w:val="center"/>
          </w:tcPr>
          <w:p>
            <w:pPr>
              <w:adjustRightInd w:val="0"/>
              <w:snapToGrid w:val="0"/>
              <w:spacing w:line="400" w:lineRule="exact"/>
              <w:rPr>
                <w:rFonts w:ascii="宋体" w:hAnsi="宋体"/>
                <w:color w:val="000000"/>
                <w:szCs w:val="21"/>
              </w:rPr>
            </w:pPr>
            <w:r>
              <w:rPr>
                <w:rFonts w:ascii="宋体" w:hAnsi="宋体"/>
                <w:color w:val="000000"/>
                <w:szCs w:val="21"/>
              </w:rPr>
              <w:t>PLC</w:t>
            </w:r>
            <w:r>
              <w:rPr>
                <w:rFonts w:hint="eastAsia" w:ascii="宋体" w:hAnsi="宋体"/>
                <w:color w:val="000000"/>
                <w:szCs w:val="21"/>
              </w:rPr>
              <w:t>实训台</w:t>
            </w:r>
          </w:p>
        </w:tc>
        <w:tc>
          <w:tcPr>
            <w:tcW w:w="1706" w:type="dxa"/>
            <w:shd w:val="clear" w:color="auto" w:fill="auto"/>
            <w:vAlign w:val="center"/>
          </w:tcPr>
          <w:p>
            <w:pPr>
              <w:adjustRightInd w:val="0"/>
              <w:snapToGrid w:val="0"/>
              <w:spacing w:line="400" w:lineRule="exact"/>
              <w:jc w:val="center"/>
            </w:pPr>
            <w:r>
              <w:rPr>
                <w:rFonts w:ascii="宋体" w:hAnsi="宋体"/>
                <w:color w:val="000000"/>
                <w:szCs w:val="21"/>
              </w:rPr>
              <w:t>DH</w:t>
            </w:r>
            <w:r>
              <w:rPr>
                <w:rFonts w:hint="eastAsia" w:ascii="宋体" w:hAnsi="宋体"/>
                <w:color w:val="000000"/>
                <w:szCs w:val="21"/>
              </w:rPr>
              <w:t>3</w:t>
            </w:r>
            <w:r>
              <w:t xml:space="preserve"> </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582" w:type="dxa"/>
            <w:shd w:val="clear" w:color="auto" w:fill="auto"/>
            <w:vAlign w:val="center"/>
          </w:tcPr>
          <w:p>
            <w:pPr>
              <w:spacing w:line="400" w:lineRule="exact"/>
              <w:rPr>
                <w:szCs w:val="21"/>
              </w:rPr>
            </w:pPr>
            <w:r>
              <w:rPr>
                <w:rFonts w:hint="eastAsia" w:ascii="宋体" w:hAnsi="宋体" w:cs="宋体"/>
                <w:color w:val="000000"/>
                <w:szCs w:val="21"/>
              </w:rPr>
              <w:t>电工实训室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基本电量测量；电路理论验证；常用仪表使用</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示波器、万用表等</w:t>
            </w:r>
          </w:p>
        </w:tc>
        <w:tc>
          <w:tcPr>
            <w:tcW w:w="1706" w:type="dxa"/>
            <w:shd w:val="clear" w:color="auto" w:fill="auto"/>
            <w:vAlign w:val="center"/>
          </w:tcPr>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汽车发动机、底盘构造理实一体化实训室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发动机、底盘构造理实一体化授课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582" w:type="dxa"/>
            <w:shd w:val="clear" w:color="auto" w:fill="auto"/>
            <w:vAlign w:val="center"/>
          </w:tcPr>
          <w:p>
            <w:pPr>
              <w:spacing w:line="400" w:lineRule="exact"/>
              <w:rPr>
                <w:szCs w:val="21"/>
              </w:rPr>
            </w:pPr>
            <w:r>
              <w:rPr>
                <w:rFonts w:hint="eastAsia"/>
                <w:szCs w:val="21"/>
              </w:rPr>
              <w:t>商用车动力装、农业动力装备拆装实训室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柴油发动机拆装、测量实训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6</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商用车动力装、农业动力装备燃油系统实训室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高压共轨柴油机燃油系统检修实训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205、708试验台</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7</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商用车动力装、农业动力装备电控实训室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高压共轨柴油机电控系统检修实训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柴油发动机电控台架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8</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汽车电器实训室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汽车电器理实一体化授课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汽车电器A</w:t>
            </w:r>
            <w:r>
              <w:rPr>
                <w:rFonts w:ascii="宋体" w:hAnsi="宋体"/>
                <w:color w:val="000000"/>
                <w:szCs w:val="21"/>
              </w:rPr>
              <w:t>B</w:t>
            </w:r>
            <w:r>
              <w:rPr>
                <w:rFonts w:hint="eastAsia" w:ascii="宋体" w:hAnsi="宋体"/>
                <w:color w:val="000000"/>
                <w:szCs w:val="21"/>
              </w:rPr>
              <w:t>板</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9</w:t>
            </w:r>
          </w:p>
        </w:tc>
        <w:tc>
          <w:tcPr>
            <w:tcW w:w="2582" w:type="dxa"/>
            <w:shd w:val="clear" w:color="auto" w:fill="auto"/>
            <w:vAlign w:val="center"/>
          </w:tcPr>
          <w:p>
            <w:pPr>
              <w:spacing w:line="400" w:lineRule="exact"/>
              <w:rPr>
                <w:szCs w:val="21"/>
              </w:rPr>
            </w:pPr>
            <w:r>
              <w:rPr>
                <w:rFonts w:hint="eastAsia" w:ascii="宋体" w:hAnsi="宋体" w:cs="宋体"/>
                <w:color w:val="000000"/>
                <w:szCs w:val="21"/>
              </w:rPr>
              <w:t>新能源汽车实训室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新能源汽车构造理实一体化授课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新能源汽车构造台架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10</w:t>
            </w:r>
          </w:p>
        </w:tc>
        <w:tc>
          <w:tcPr>
            <w:tcW w:w="2582" w:type="dxa"/>
            <w:shd w:val="clear" w:color="auto" w:fill="auto"/>
            <w:vAlign w:val="center"/>
          </w:tcPr>
          <w:p>
            <w:pPr>
              <w:spacing w:line="400" w:lineRule="exact"/>
              <w:rPr>
                <w:rFonts w:ascii="宋体" w:hAnsi="宋体" w:cs="宋体"/>
                <w:color w:val="000000"/>
                <w:szCs w:val="21"/>
              </w:rPr>
            </w:pPr>
          </w:p>
          <w:p>
            <w:pPr>
              <w:spacing w:line="400" w:lineRule="exact"/>
              <w:rPr>
                <w:rFonts w:ascii="宋体" w:hAnsi="宋体" w:cs="宋体"/>
                <w:color w:val="000000"/>
                <w:szCs w:val="21"/>
              </w:rPr>
            </w:pPr>
          </w:p>
          <w:p>
            <w:pPr>
              <w:spacing w:line="400" w:lineRule="exact"/>
              <w:rPr>
                <w:szCs w:val="21"/>
              </w:rPr>
            </w:pPr>
            <w:r>
              <w:rPr>
                <w:rFonts w:hint="eastAsia" w:ascii="宋体" w:hAnsi="宋体" w:cs="宋体"/>
                <w:color w:val="000000"/>
                <w:szCs w:val="21"/>
              </w:rPr>
              <w:t>实训工厂</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整车拆装、检修实训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整车、举升机等</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bl>
    <w:p/>
    <w:p>
      <w:r>
        <w:rPr>
          <w:rFonts w:hint="eastAsia" w:ascii="宋体" w:hAnsi="宋体"/>
          <w:color w:val="000000"/>
          <w:sz w:val="24"/>
        </w:rPr>
        <w:t>2.校外实训基</w:t>
      </w:r>
      <w:r>
        <w:rPr>
          <w:rFonts w:hint="eastAsia"/>
        </w:rPr>
        <w:t>地</w:t>
      </w:r>
    </w:p>
    <w:p>
      <w:pPr>
        <w:jc w:val="center"/>
      </w:pPr>
      <w:r>
        <w:rPr>
          <w:rFonts w:hint="eastAsia"/>
        </w:rPr>
        <w:t>表5</w:t>
      </w:r>
      <w:r>
        <w:t xml:space="preserve"> </w:t>
      </w:r>
      <w:r>
        <w:rPr>
          <w:rFonts w:hint="eastAsia"/>
        </w:rPr>
        <w:t xml:space="preserve"> 校外实训条件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235"/>
        <w:gridCol w:w="2780"/>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61"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序号</w:t>
            </w:r>
          </w:p>
        </w:tc>
        <w:tc>
          <w:tcPr>
            <w:tcW w:w="2237"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基地名称</w:t>
            </w:r>
          </w:p>
        </w:tc>
        <w:tc>
          <w:tcPr>
            <w:tcW w:w="2782"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实训岗位与功能</w:t>
            </w:r>
          </w:p>
        </w:tc>
        <w:tc>
          <w:tcPr>
            <w:tcW w:w="2740" w:type="dxa"/>
            <w:shd w:val="clear" w:color="auto" w:fill="A6A6A6"/>
            <w:vAlign w:val="center"/>
          </w:tcPr>
          <w:p>
            <w:pPr>
              <w:spacing w:line="400" w:lineRule="exact"/>
              <w:jc w:val="cente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潍柴动力股份有限公司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博世汽车服务(苏州)有限公司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spacing w:line="400" w:lineRule="exact"/>
              <w:jc w:val="center"/>
              <w:rPr>
                <w:rFonts w:ascii="宋体" w:hAnsi="宋体"/>
                <w:color w:val="000000"/>
                <w:szCs w:val="21"/>
              </w:rPr>
            </w:pPr>
            <w:r>
              <w:rPr>
                <w:rFonts w:hint="eastAsia" w:ascii="宋体" w:hAnsi="宋体"/>
                <w:color w:val="000000"/>
                <w:szCs w:val="21"/>
              </w:rPr>
              <w:t>D</w:t>
            </w:r>
            <w:r>
              <w:rPr>
                <w:rFonts w:ascii="宋体" w:hAnsi="宋体"/>
                <w:color w:val="000000"/>
                <w:szCs w:val="21"/>
              </w:rPr>
              <w:t>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一汽吉林汽车有限公司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工学交替零件物流岗；汽车总装岗；产品质检岗；焊装岗；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长春市灯泡线束厂</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工学交替汽车零部件总装岗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长春市鑫鑫源汽车检测线</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工学交替接待岗；检车技师岗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bl>
    <w:p/>
    <w:p>
      <w:pPr>
        <w:pStyle w:val="2"/>
        <w:spacing w:before="120" w:beforeLines="50" w:after="120" w:afterLines="50" w:line="520" w:lineRule="exact"/>
        <w:ind w:firstLine="562" w:firstLineChars="200"/>
        <w:rPr>
          <w:b/>
          <w:bCs/>
          <w:sz w:val="28"/>
          <w:szCs w:val="28"/>
        </w:rPr>
      </w:pPr>
      <w:r>
        <w:rPr>
          <w:rFonts w:hint="eastAsia"/>
          <w:b/>
          <w:bCs/>
          <w:sz w:val="28"/>
          <w:szCs w:val="28"/>
        </w:rPr>
        <w:t>五、教学进程安排</w:t>
      </w:r>
    </w:p>
    <w:p/>
    <w:p>
      <w:pPr>
        <w:spacing w:line="520" w:lineRule="exact"/>
        <w:jc w:val="center"/>
      </w:pPr>
      <w:r>
        <w:rPr>
          <w:rFonts w:hint="eastAsia" w:ascii="宋体" w:hAnsi="宋体"/>
          <w:color w:val="000000"/>
        </w:rPr>
        <w:t>表6 课程安排表</w:t>
      </w:r>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blHeader/>
          <w:jc w:val="center"/>
        </w:trPr>
        <w:tc>
          <w:tcPr>
            <w:tcW w:w="42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序号</w:t>
            </w:r>
          </w:p>
        </w:tc>
        <w:tc>
          <w:tcPr>
            <w:tcW w:w="169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课程名称</w:t>
            </w:r>
          </w:p>
        </w:tc>
        <w:tc>
          <w:tcPr>
            <w:tcW w:w="85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w:t>
            </w:r>
          </w:p>
          <w:p>
            <w:pPr>
              <w:adjustRightInd w:val="0"/>
              <w:snapToGrid w:val="0"/>
              <w:jc w:val="center"/>
              <w:outlineLvl w:val="0"/>
              <w:rPr>
                <w:rFonts w:ascii="宋体" w:hAnsi="宋体"/>
                <w:b/>
                <w:sz w:val="18"/>
                <w:szCs w:val="18"/>
              </w:rPr>
            </w:pPr>
            <w:r>
              <w:rPr>
                <w:rFonts w:hint="eastAsia" w:ascii="宋体" w:hAnsi="宋体"/>
                <w:b/>
                <w:sz w:val="18"/>
                <w:szCs w:val="18"/>
              </w:rPr>
              <w:t>程</w:t>
            </w:r>
          </w:p>
          <w:p>
            <w:pPr>
              <w:adjustRightInd w:val="0"/>
              <w:snapToGrid w:val="0"/>
              <w:jc w:val="center"/>
              <w:outlineLvl w:val="0"/>
              <w:rPr>
                <w:rFonts w:ascii="宋体" w:hAnsi="宋体"/>
                <w:b/>
                <w:sz w:val="18"/>
                <w:szCs w:val="18"/>
              </w:rPr>
            </w:pPr>
            <w:r>
              <w:rPr>
                <w:rFonts w:hint="eastAsia" w:ascii="宋体" w:hAnsi="宋体"/>
                <w:b/>
                <w:sz w:val="18"/>
                <w:szCs w:val="18"/>
              </w:rPr>
              <w:t>代</w:t>
            </w:r>
          </w:p>
          <w:p>
            <w:pPr>
              <w:adjustRightInd w:val="0"/>
              <w:snapToGrid w:val="0"/>
              <w:jc w:val="center"/>
              <w:outlineLvl w:val="0"/>
              <w:rPr>
                <w:rFonts w:ascii="宋体" w:hAnsi="宋体"/>
                <w:b/>
                <w:sz w:val="18"/>
                <w:szCs w:val="18"/>
              </w:rPr>
            </w:pPr>
            <w:r>
              <w:rPr>
                <w:rFonts w:hint="eastAsia" w:ascii="宋体" w:hAnsi="宋体"/>
                <w:b/>
                <w:sz w:val="18"/>
                <w:szCs w:val="18"/>
              </w:rPr>
              <w:t>码</w:t>
            </w:r>
          </w:p>
        </w:tc>
        <w:tc>
          <w:tcPr>
            <w:tcW w:w="50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学分</w:t>
            </w:r>
          </w:p>
        </w:tc>
        <w:tc>
          <w:tcPr>
            <w:tcW w:w="343"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考核方式</w:t>
            </w:r>
          </w:p>
        </w:tc>
        <w:tc>
          <w:tcPr>
            <w:tcW w:w="1448" w:type="dxa"/>
            <w:gridSpan w:val="3"/>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学时分配</w:t>
            </w:r>
          </w:p>
        </w:tc>
        <w:tc>
          <w:tcPr>
            <w:tcW w:w="1039"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第1学年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第2学年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第3学年</w:t>
            </w:r>
          </w:p>
        </w:tc>
        <w:tc>
          <w:tcPr>
            <w:tcW w:w="850" w:type="dxa"/>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学年</w:t>
            </w:r>
          </w:p>
        </w:tc>
        <w:tc>
          <w:tcPr>
            <w:tcW w:w="850" w:type="dxa"/>
            <w:vMerge w:val="restart"/>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开课</w:t>
            </w:r>
            <w:r>
              <w:rPr>
                <w:rFonts w:ascii="宋体" w:hAnsi="宋体"/>
                <w:b/>
                <w:sz w:val="18"/>
                <w:szCs w:val="18"/>
              </w:rPr>
              <w:t>及管理单位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总学时</w:t>
            </w:r>
          </w:p>
        </w:tc>
        <w:tc>
          <w:tcPr>
            <w:tcW w:w="42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理论</w:t>
            </w:r>
          </w:p>
        </w:tc>
        <w:tc>
          <w:tcPr>
            <w:tcW w:w="51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实践</w:t>
            </w:r>
          </w:p>
        </w:tc>
        <w:tc>
          <w:tcPr>
            <w:tcW w:w="519"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3</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4</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5</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6</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学期</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w:t>
            </w:r>
            <w:r>
              <w:rPr>
                <w:rFonts w:ascii="宋体" w:hAnsi="宋体"/>
                <w:b/>
                <w:sz w:val="18"/>
                <w:szCs w:val="18"/>
              </w:rPr>
              <w:t>9</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计划周数</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blHeader/>
          <w:jc w:val="center"/>
        </w:trPr>
        <w:tc>
          <w:tcPr>
            <w:tcW w:w="42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14</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12</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13</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15</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850" w:type="dxa"/>
            <w:tcBorders>
              <w:bottom w:val="single" w:color="auto" w:sz="4" w:space="0"/>
            </w:tcBorders>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理论周数</w:t>
            </w:r>
          </w:p>
        </w:tc>
        <w:tc>
          <w:tcPr>
            <w:tcW w:w="850" w:type="dxa"/>
            <w:vMerge w:val="continue"/>
            <w:tcBorders>
              <w:bottom w:val="single" w:color="auto" w:sz="4" w:space="0"/>
            </w:tcBorders>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118" w:type="dxa"/>
            <w:gridSpan w:val="2"/>
            <w:shd w:val="clear" w:color="auto" w:fill="D9D9D9"/>
            <w:vAlign w:val="center"/>
          </w:tcPr>
          <w:p>
            <w:pPr>
              <w:adjustRightInd w:val="0"/>
              <w:snapToGrid w:val="0"/>
              <w:spacing w:line="360" w:lineRule="auto"/>
              <w:jc w:val="center"/>
              <w:outlineLvl w:val="0"/>
              <w:rPr>
                <w:rFonts w:ascii="宋体" w:hAnsi="宋体"/>
                <w:b/>
                <w:sz w:val="15"/>
                <w:szCs w:val="15"/>
              </w:rPr>
            </w:pPr>
            <w:r>
              <w:rPr>
                <w:rFonts w:hint="eastAsia" w:ascii="宋体" w:hAnsi="宋体"/>
                <w:b/>
                <w:sz w:val="18"/>
                <w:szCs w:val="18"/>
              </w:rPr>
              <w:t>一、公共基础课程（B）</w:t>
            </w:r>
          </w:p>
        </w:tc>
        <w:tc>
          <w:tcPr>
            <w:tcW w:w="851" w:type="dxa"/>
            <w:shd w:val="clear" w:color="auto" w:fill="D9D9D9"/>
            <w:vAlign w:val="center"/>
          </w:tcPr>
          <w:p>
            <w:pPr>
              <w:adjustRightInd w:val="0"/>
              <w:snapToGrid w:val="0"/>
              <w:spacing w:line="360" w:lineRule="auto"/>
              <w:jc w:val="center"/>
              <w:outlineLvl w:val="0"/>
              <w:rPr>
                <w:rFonts w:ascii="宋体" w:hAnsi="宋体"/>
                <w:b/>
                <w:sz w:val="15"/>
                <w:szCs w:val="15"/>
              </w:rPr>
            </w:pPr>
            <w:r>
              <w:rPr>
                <w:rFonts w:hint="eastAsia" w:ascii="宋体" w:hAnsi="宋体"/>
                <w:sz w:val="15"/>
                <w:szCs w:val="15"/>
              </w:rPr>
              <w:t>合计</w:t>
            </w:r>
          </w:p>
        </w:tc>
        <w:tc>
          <w:tcPr>
            <w:tcW w:w="507"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36.5</w:t>
            </w:r>
          </w:p>
        </w:tc>
        <w:tc>
          <w:tcPr>
            <w:tcW w:w="343" w:type="dxa"/>
            <w:shd w:val="clear" w:color="auto" w:fill="D9D9D9"/>
            <w:vAlign w:val="center"/>
          </w:tcPr>
          <w:p>
            <w:pPr>
              <w:adjustRightInd w:val="0"/>
              <w:snapToGrid w:val="0"/>
              <w:spacing w:line="240" w:lineRule="exact"/>
              <w:jc w:val="center"/>
              <w:outlineLvl w:val="0"/>
              <w:rPr>
                <w:rFonts w:ascii="宋体" w:hAnsi="宋体"/>
                <w:color w:val="000000"/>
                <w:sz w:val="15"/>
                <w:szCs w:val="15"/>
              </w:rPr>
            </w:pPr>
          </w:p>
        </w:tc>
        <w:tc>
          <w:tcPr>
            <w:tcW w:w="508"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689</w:t>
            </w:r>
          </w:p>
        </w:tc>
        <w:tc>
          <w:tcPr>
            <w:tcW w:w="42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278</w:t>
            </w:r>
          </w:p>
        </w:tc>
        <w:tc>
          <w:tcPr>
            <w:tcW w:w="51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411</w:t>
            </w:r>
          </w:p>
        </w:tc>
        <w:tc>
          <w:tcPr>
            <w:tcW w:w="519"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tcPr>
          <w:p>
            <w:pPr>
              <w:adjustRightInd w:val="0"/>
              <w:snapToGrid w:val="0"/>
              <w:spacing w:line="360" w:lineRule="auto"/>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军训</w:t>
            </w:r>
            <w:r>
              <w:rPr>
                <w:rFonts w:ascii="宋体" w:hAnsi="宋体"/>
                <w:color w:val="000000"/>
                <w:sz w:val="15"/>
                <w:szCs w:val="15"/>
              </w:rPr>
              <w:t>（</w:t>
            </w:r>
            <w:r>
              <w:rPr>
                <w:rFonts w:hint="eastAsia" w:ascii="宋体" w:hAnsi="宋体"/>
                <w:color w:val="000000"/>
                <w:sz w:val="15"/>
                <w:szCs w:val="15"/>
              </w:rPr>
              <w:t>含入学</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教育</w:t>
            </w:r>
            <w:r>
              <w:rPr>
                <w:rFonts w:ascii="宋体" w:hAnsi="宋体"/>
                <w:color w:val="000000"/>
                <w:sz w:val="15"/>
                <w:szCs w:val="15"/>
              </w:rPr>
              <w:t>）</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r>
              <w:rPr>
                <w:rFonts w:ascii="宋体" w:hAnsi="宋体"/>
                <w:color w:val="000000"/>
                <w:sz w:val="15"/>
                <w:szCs w:val="15"/>
              </w:rPr>
              <w:t>803003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hint="eastAsia" w:ascii="宋体" w:hAnsi="宋体"/>
                <w:sz w:val="15"/>
                <w:szCs w:val="15"/>
              </w:rPr>
              <w:t>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军事理论教育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w:t>
            </w:r>
            <w:r>
              <w:rPr>
                <w:rFonts w:ascii="宋体" w:hAnsi="宋体"/>
                <w:color w:val="000000"/>
                <w:sz w:val="15"/>
                <w:szCs w:val="15"/>
              </w:rPr>
              <w:t>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rPr>
                <w:rFonts w:ascii="宋体" w:hAnsi="宋体"/>
                <w:sz w:val="15"/>
                <w:szCs w:val="15"/>
              </w:rPr>
            </w:pPr>
            <w:r>
              <w:rPr>
                <w:rFonts w:hint="eastAsia" w:ascii="宋体" w:hAnsi="宋体"/>
                <w:sz w:val="15"/>
                <w:szCs w:val="15"/>
              </w:rPr>
              <w:t>整学期</w:t>
            </w:r>
          </w:p>
        </w:tc>
        <w:tc>
          <w:tcPr>
            <w:tcW w:w="850" w:type="dxa"/>
            <w:vAlign w:val="center"/>
          </w:tcPr>
          <w:p>
            <w:pPr>
              <w:rPr>
                <w:rFonts w:ascii="宋体" w:hAnsi="宋体"/>
                <w:sz w:val="15"/>
                <w:szCs w:val="15"/>
              </w:rPr>
            </w:pPr>
            <w:r>
              <w:rPr>
                <w:rFonts w:hint="eastAsia" w:ascii="宋体" w:hAnsi="宋体"/>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3</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大学生</w:t>
            </w:r>
            <w:r>
              <w:rPr>
                <w:rFonts w:ascii="宋体" w:hAnsi="宋体"/>
                <w:sz w:val="15"/>
                <w:szCs w:val="15"/>
              </w:rPr>
              <w:t>安全教育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0803017</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0.5</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前5周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学生处</w:t>
            </w:r>
            <w:r>
              <w:rPr>
                <w:rFonts w:ascii="宋体" w:hAnsi="宋体"/>
                <w:sz w:val="15"/>
                <w:szCs w:val="15"/>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4</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心理健康教育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整学期</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ascii="宋体" w:hAnsi="宋体"/>
                <w:sz w:val="15"/>
                <w:szCs w:val="15"/>
              </w:rPr>
              <w:t>5</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大学美育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13</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13/期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后7周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劳动教育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w:t>
            </w:r>
            <w:r>
              <w:rPr>
                <w:rFonts w:hint="eastAsia" w:ascii="宋体" w:hAnsi="宋体"/>
                <w:color w:val="000000"/>
                <w:sz w:val="15"/>
                <w:szCs w:val="15"/>
              </w:rPr>
              <w:t>6</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前8周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职业</w:t>
            </w:r>
            <w:r>
              <w:rPr>
                <w:rFonts w:hint="eastAsia" w:ascii="宋体" w:hAnsi="宋体"/>
                <w:color w:val="000000"/>
                <w:sz w:val="15"/>
                <w:szCs w:val="15"/>
              </w:rPr>
              <w:t>生涯</w:t>
            </w:r>
            <w:r>
              <w:rPr>
                <w:rFonts w:ascii="宋体" w:hAnsi="宋体"/>
                <w:color w:val="000000"/>
                <w:sz w:val="15"/>
                <w:szCs w:val="15"/>
              </w:rPr>
              <w:t>规划</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w:t>
            </w:r>
            <w:r>
              <w:rPr>
                <w:rFonts w:ascii="宋体" w:hAnsi="宋体"/>
                <w:color w:val="000000"/>
                <w:sz w:val="15"/>
                <w:szCs w:val="15"/>
              </w:rPr>
              <w:t>17</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8</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w:t>
            </w:r>
            <w:r>
              <w:rPr>
                <w:rFonts w:hint="eastAsia" w:ascii="宋体" w:hAnsi="宋体"/>
                <w:color w:val="000000"/>
                <w:sz w:val="15"/>
                <w:szCs w:val="15"/>
              </w:rPr>
              <w:t>基础课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w:t>
            </w:r>
            <w:r>
              <w:rPr>
                <w:rFonts w:ascii="宋体" w:hAnsi="宋体"/>
                <w:color w:val="000000"/>
                <w:sz w:val="15"/>
                <w:szCs w:val="15"/>
              </w:rPr>
              <w:t>18</w:t>
            </w:r>
          </w:p>
        </w:tc>
        <w:tc>
          <w:tcPr>
            <w:tcW w:w="50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10/</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前5周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9</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就业指导课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0801008</w:t>
            </w:r>
          </w:p>
        </w:tc>
        <w:tc>
          <w:tcPr>
            <w:tcW w:w="50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10</w:t>
            </w:r>
          </w:p>
        </w:tc>
        <w:tc>
          <w:tcPr>
            <w:tcW w:w="169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创业基础课</w:t>
            </w:r>
          </w:p>
        </w:tc>
        <w:tc>
          <w:tcPr>
            <w:tcW w:w="851" w:type="dxa"/>
            <w:shd w:val="clear" w:color="auto" w:fill="auto"/>
            <w:vAlign w:val="center"/>
          </w:tcPr>
          <w:p>
            <w:pPr>
              <w:adjustRightInd w:val="0"/>
              <w:snapToGrid w:val="0"/>
              <w:spacing w:line="240" w:lineRule="exact"/>
              <w:outlineLvl w:val="0"/>
              <w:rPr>
                <w:rFonts w:ascii="宋体" w:hAnsi="宋体"/>
                <w:color w:val="000000"/>
                <w:sz w:val="15"/>
                <w:szCs w:val="15"/>
              </w:rPr>
            </w:pPr>
            <w:r>
              <w:rPr>
                <w:rFonts w:hint="eastAsia" w:ascii="宋体" w:hAnsi="宋体"/>
                <w:color w:val="000000"/>
                <w:sz w:val="15"/>
                <w:szCs w:val="15"/>
              </w:rPr>
              <w:t>0801019</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11</w:t>
            </w:r>
          </w:p>
        </w:tc>
        <w:tc>
          <w:tcPr>
            <w:tcW w:w="1697" w:type="dxa"/>
            <w:shd w:val="clear" w:color="auto" w:fill="auto"/>
            <w:vAlign w:val="center"/>
          </w:tcPr>
          <w:p>
            <w:pPr>
              <w:spacing w:line="240" w:lineRule="exact"/>
              <w:jc w:val="center"/>
              <w:rPr>
                <w:rFonts w:ascii="宋体" w:hAnsi="宋体"/>
                <w:sz w:val="15"/>
                <w:szCs w:val="15"/>
              </w:rPr>
            </w:pPr>
            <w:r>
              <w:rPr>
                <w:rFonts w:hint="eastAsia" w:ascii="宋体" w:hAnsi="宋体"/>
                <w:sz w:val="15"/>
                <w:szCs w:val="15"/>
              </w:rPr>
              <w:t>“学习筑梦”</w:t>
            </w:r>
          </w:p>
          <w:p>
            <w:pPr>
              <w:spacing w:line="240" w:lineRule="exact"/>
              <w:jc w:val="center"/>
              <w:rPr>
                <w:rFonts w:ascii="宋体" w:hAnsi="宋体"/>
                <w:sz w:val="15"/>
                <w:szCs w:val="15"/>
              </w:rPr>
            </w:pPr>
            <w:r>
              <w:rPr>
                <w:rFonts w:ascii="宋体" w:hAnsi="宋体"/>
                <w:sz w:val="15"/>
                <w:szCs w:val="15"/>
              </w:rPr>
              <w:t>思政课</w:t>
            </w:r>
          </w:p>
        </w:tc>
        <w:tc>
          <w:tcPr>
            <w:tcW w:w="851" w:type="dxa"/>
            <w:shd w:val="clear" w:color="auto" w:fill="auto"/>
            <w:vAlign w:val="center"/>
          </w:tcPr>
          <w:p>
            <w:pPr>
              <w:adjustRightInd w:val="0"/>
              <w:snapToGrid w:val="0"/>
              <w:spacing w:line="240" w:lineRule="exact"/>
              <w:outlineLvl w:val="0"/>
              <w:rPr>
                <w:rFonts w:ascii="宋体" w:hAnsi="宋体"/>
                <w:sz w:val="15"/>
                <w:szCs w:val="15"/>
              </w:rPr>
            </w:pPr>
            <w:r>
              <w:rPr>
                <w:rFonts w:hint="eastAsia" w:ascii="宋体" w:hAnsi="宋体"/>
                <w:sz w:val="15"/>
                <w:szCs w:val="15"/>
              </w:rPr>
              <w:t>0801021</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r>
              <w:rPr>
                <w:rFonts w:ascii="宋体" w:hAnsi="宋体"/>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12</w:t>
            </w:r>
          </w:p>
        </w:tc>
        <w:tc>
          <w:tcPr>
            <w:tcW w:w="1697" w:type="dxa"/>
            <w:shd w:val="clear" w:color="auto" w:fill="auto"/>
            <w:vAlign w:val="center"/>
          </w:tcPr>
          <w:p>
            <w:pPr>
              <w:adjustRightInd w:val="0"/>
              <w:snapToGrid w:val="0"/>
              <w:spacing w:line="240" w:lineRule="exact"/>
              <w:jc w:val="center"/>
              <w:outlineLvl w:val="0"/>
              <w:rPr>
                <w:rFonts w:hint="eastAsia" w:ascii="宋体" w:hAnsi="宋体"/>
                <w:color w:val="000000"/>
                <w:sz w:val="15"/>
                <w:szCs w:val="15"/>
              </w:rPr>
            </w:pPr>
            <w:r>
              <w:rPr>
                <w:rFonts w:hint="eastAsia" w:ascii="宋体" w:hAnsi="宋体"/>
                <w:color w:val="000000"/>
                <w:sz w:val="15"/>
                <w:szCs w:val="15"/>
              </w:rPr>
              <w:t>形势与政策Ⅰ</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3</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形势与政策Ⅱ</w:t>
            </w:r>
          </w:p>
          <w:p>
            <w:pPr>
              <w:jc w:val="center"/>
              <w:rPr>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4</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形势与政策Ⅲ</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前2周</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周三</w:t>
            </w:r>
          </w:p>
          <w:p>
            <w:pPr>
              <w:adjustRightInd w:val="0"/>
              <w:snapToGrid w:val="0"/>
              <w:spacing w:line="240" w:lineRule="exact"/>
              <w:jc w:val="center"/>
              <w:outlineLvl w:val="0"/>
              <w:rPr>
                <w:rFonts w:ascii="宋体" w:hAnsi="宋体"/>
                <w:color w:val="FF0000"/>
                <w:sz w:val="15"/>
                <w:szCs w:val="15"/>
              </w:rPr>
            </w:pPr>
            <w:r>
              <w:rPr>
                <w:rFonts w:hint="eastAsia" w:ascii="宋体" w:hAnsi="宋体"/>
                <w:color w:val="000000"/>
                <w:sz w:val="15"/>
                <w:szCs w:val="15"/>
              </w:rPr>
              <w:t xml:space="preserve">下午 </w:t>
            </w:r>
            <w:r>
              <w:rPr>
                <w:rFonts w:hint="eastAsia" w:ascii="宋体" w:hAnsi="宋体"/>
                <w:color w:val="FF0000"/>
                <w:sz w:val="15"/>
                <w:szCs w:val="15"/>
              </w:rPr>
              <w:t xml:space="preserve"> </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5</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形势与政策Ⅳ</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continue"/>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思想道德修养与法律</w:t>
            </w:r>
            <w:r>
              <w:rPr>
                <w:rFonts w:ascii="宋体" w:hAnsi="宋体"/>
                <w:color w:val="000000"/>
                <w:sz w:val="15"/>
                <w:szCs w:val="15"/>
              </w:rPr>
              <w:t>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w:t>
            </w:r>
            <w:r>
              <w:rPr>
                <w:rFonts w:ascii="宋体" w:hAnsi="宋体"/>
                <w:color w:val="000000"/>
                <w:sz w:val="15"/>
                <w:szCs w:val="15"/>
              </w:rPr>
              <w:t>2</w:t>
            </w:r>
            <w:r>
              <w:rPr>
                <w:rFonts w:hint="eastAsia" w:ascii="宋体" w:hAnsi="宋体"/>
                <w:color w:val="000000"/>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毛泽东思想</w:t>
            </w:r>
            <w:r>
              <w:rPr>
                <w:rFonts w:ascii="宋体" w:hAnsi="宋体"/>
                <w:color w:val="000000"/>
                <w:sz w:val="15"/>
                <w:szCs w:val="15"/>
              </w:rPr>
              <w:t>和</w:t>
            </w:r>
            <w:r>
              <w:rPr>
                <w:rFonts w:hint="eastAsia" w:ascii="宋体" w:hAnsi="宋体"/>
                <w:color w:val="000000"/>
                <w:sz w:val="15"/>
                <w:szCs w:val="15"/>
              </w:rPr>
              <w:t>中国特色社会主义</w:t>
            </w:r>
            <w:r>
              <w:rPr>
                <w:rFonts w:ascii="宋体" w:hAnsi="宋体"/>
                <w:color w:val="000000"/>
                <w:sz w:val="15"/>
                <w:szCs w:val="15"/>
              </w:rPr>
              <w:t>理论体系概论</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64</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56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前16周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18</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体育与健康Ⅰ</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r>
              <w:rPr>
                <w:rFonts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w:t>
            </w:r>
            <w:r>
              <w:rPr>
                <w:rFonts w:ascii="宋体" w:hAnsi="宋体"/>
                <w:color w:val="000000"/>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19</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Ⅱ</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20</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rFonts w:ascii="宋体" w:hAnsi="宋体"/>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计算机应用基础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0401004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r>
              <w:rPr>
                <w:rFonts w:ascii="宋体" w:hAnsi="宋体"/>
                <w:color w:val="000000"/>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信息</w:t>
            </w:r>
            <w:r>
              <w:rPr>
                <w:rFonts w:ascii="宋体" w:hAnsi="宋体"/>
                <w:color w:val="000000"/>
                <w:sz w:val="15"/>
                <w:szCs w:val="15"/>
              </w:rPr>
              <w:t>工程</w:t>
            </w:r>
            <w:r>
              <w:rPr>
                <w:rFonts w:hint="eastAsia" w:ascii="宋体" w:hAnsi="宋体"/>
                <w:color w:val="000000"/>
                <w:sz w:val="15"/>
                <w:szCs w:val="15"/>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大学英语</w:t>
            </w:r>
          </w:p>
        </w:tc>
        <w:tc>
          <w:tcPr>
            <w:tcW w:w="851" w:type="dxa"/>
            <w:shd w:val="clear" w:color="auto" w:fill="auto"/>
            <w:vAlign w:val="center"/>
          </w:tcPr>
          <w:p>
            <w:pPr>
              <w:rPr>
                <w:rFonts w:ascii="宋体" w:hAnsi="宋体"/>
                <w:color w:val="000000"/>
                <w:sz w:val="15"/>
                <w:szCs w:val="15"/>
              </w:rPr>
            </w:pPr>
            <w:r>
              <w:rPr>
                <w:rFonts w:hint="eastAsia" w:ascii="宋体" w:hAnsi="宋体"/>
                <w:color w:val="000000"/>
                <w:sz w:val="15"/>
                <w:szCs w:val="15"/>
              </w:rPr>
              <w:t>0805001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23</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应用文写作</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0806002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pacing w:val="-20"/>
                <w:sz w:val="15"/>
                <w:szCs w:val="15"/>
              </w:rPr>
            </w:pPr>
            <w:r>
              <w:rPr>
                <w:rFonts w:hint="eastAsia" w:ascii="宋体" w:hAnsi="宋体"/>
                <w:color w:val="000000"/>
                <w:spacing w:val="-20"/>
                <w:sz w:val="15"/>
                <w:szCs w:val="15"/>
              </w:rPr>
              <w:t xml:space="preserve">C </w:t>
            </w:r>
            <w:r>
              <w:rPr>
                <w:rFonts w:ascii="宋体" w:hAnsi="宋体"/>
                <w:color w:val="000000"/>
                <w:spacing w:val="-20"/>
                <w:sz w:val="15"/>
                <w:szCs w:val="15"/>
              </w:rPr>
              <w:t>/</w:t>
            </w:r>
            <w:r>
              <w:rPr>
                <w:rFonts w:hint="eastAsia" w:ascii="宋体" w:hAnsi="宋体"/>
                <w:color w:val="000000"/>
                <w:spacing w:val="-2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bl>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8"/>
                <w:szCs w:val="18"/>
              </w:rPr>
              <w:t>二、专业平台课程（B）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18</w:t>
            </w:r>
          </w:p>
        </w:tc>
        <w:tc>
          <w:tcPr>
            <w:tcW w:w="343" w:type="dxa"/>
            <w:vAlign w:val="center"/>
          </w:tcPr>
          <w:p>
            <w:pPr>
              <w:adjustRightInd w:val="0"/>
              <w:snapToGrid w:val="0"/>
              <w:spacing w:line="400" w:lineRule="exact"/>
              <w:jc w:val="center"/>
              <w:outlineLvl w:val="0"/>
              <w:rPr>
                <w:rFonts w:ascii="宋体" w:hAnsi="宋体"/>
                <w:b/>
                <w:bCs/>
                <w:spacing w:val="-20"/>
                <w:sz w:val="15"/>
                <w:szCs w:val="15"/>
              </w:rPr>
            </w:pPr>
          </w:p>
        </w:tc>
        <w:tc>
          <w:tcPr>
            <w:tcW w:w="508"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312</w:t>
            </w:r>
          </w:p>
        </w:tc>
        <w:tc>
          <w:tcPr>
            <w:tcW w:w="425"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204</w:t>
            </w:r>
          </w:p>
        </w:tc>
        <w:tc>
          <w:tcPr>
            <w:tcW w:w="515"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108</w:t>
            </w:r>
          </w:p>
        </w:tc>
        <w:tc>
          <w:tcPr>
            <w:tcW w:w="519"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850" w:type="dxa"/>
            <w:shd w:val="clear" w:color="auto" w:fill="auto"/>
            <w:vAlign w:val="center"/>
          </w:tcPr>
          <w:p>
            <w:pPr>
              <w:spacing w:line="400" w:lineRule="exact"/>
              <w:jc w:val="center"/>
              <w:rPr>
                <w:rFonts w:ascii="宋体" w:hAnsi="宋体"/>
                <w:sz w:val="15"/>
                <w:szCs w:val="15"/>
              </w:rPr>
            </w:pPr>
          </w:p>
        </w:tc>
        <w:tc>
          <w:tcPr>
            <w:tcW w:w="850" w:type="dxa"/>
            <w:vAlign w:val="center"/>
          </w:tcPr>
          <w:p>
            <w:pPr>
              <w:adjustRightInd w:val="0"/>
              <w:snapToGrid w:val="0"/>
              <w:spacing w:line="400" w:lineRule="exact"/>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汽车机械制图</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汽车文化</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机械设计基础</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color w:val="FF0000"/>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Prot</w:t>
            </w:r>
            <w:r>
              <w:rPr>
                <w:rFonts w:ascii="宋体" w:hAnsi="宋体" w:cs="宋体"/>
                <w:sz w:val="15"/>
                <w:szCs w:val="15"/>
              </w:rPr>
              <w:t>el DXP</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16209500914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44</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color w:val="FF0000"/>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液压与气动技术</w:t>
            </w:r>
          </w:p>
        </w:tc>
        <w:tc>
          <w:tcPr>
            <w:tcW w:w="851"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0301012</w:t>
            </w:r>
          </w:p>
        </w:tc>
        <w:tc>
          <w:tcPr>
            <w:tcW w:w="507"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44</w:t>
            </w:r>
          </w:p>
        </w:tc>
        <w:tc>
          <w:tcPr>
            <w:tcW w:w="515"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19"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color w:val="FF0000"/>
                <w:sz w:val="15"/>
                <w:szCs w:val="15"/>
              </w:rPr>
            </w:pPr>
            <w:r>
              <w:rPr>
                <w:rFonts w:hint="eastAsia" w:ascii="宋体" w:hAnsi="宋体" w:cs="宋体"/>
                <w:sz w:val="15"/>
                <w:szCs w:val="15"/>
              </w:rPr>
              <w:t>4</w:t>
            </w: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52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85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p>
        </w:tc>
        <w:tc>
          <w:tcPr>
            <w:tcW w:w="850" w:type="dxa"/>
            <w:tcBorders>
              <w:bottom w:val="single" w:color="auto" w:sz="4" w:space="0"/>
            </w:tcBorders>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汽车电工电子</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14</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8"/>
                <w:szCs w:val="18"/>
              </w:rPr>
              <w:t>三、专业技术课程（B）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29</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510</w:t>
            </w:r>
          </w:p>
        </w:tc>
        <w:tc>
          <w:tcPr>
            <w:tcW w:w="42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268</w:t>
            </w: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242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汽车发动机构造与检修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汽车底盘构造与检修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汽车电气系统检修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汽车检测与故障诊断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汽车单片机应用技术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0301023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Cs/>
                <w:sz w:val="15"/>
                <w:szCs w:val="15"/>
              </w:rPr>
            </w:pPr>
            <w:r>
              <w:rPr>
                <w:rFonts w:hint="eastAsia" w:ascii="宋体" w:hAnsi="宋体" w:cs="宋体"/>
                <w:bCs/>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电器控制与PLC应用技术I</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16200300771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8"/>
                <w:szCs w:val="18"/>
              </w:rPr>
              <w:t>四、专业实践课程（B）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23.5</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1000</w:t>
            </w:r>
          </w:p>
        </w:tc>
        <w:tc>
          <w:tcPr>
            <w:tcW w:w="425" w:type="dxa"/>
            <w:vAlign w:val="center"/>
          </w:tcPr>
          <w:p>
            <w:pPr>
              <w:adjustRightInd w:val="0"/>
              <w:snapToGrid w:val="0"/>
              <w:spacing w:line="400" w:lineRule="exact"/>
              <w:jc w:val="center"/>
              <w:outlineLvl w:val="0"/>
              <w:rPr>
                <w:rFonts w:ascii="宋体" w:hAnsi="宋体" w:cs="宋体"/>
                <w:b/>
                <w:bCs/>
                <w:sz w:val="15"/>
                <w:szCs w:val="15"/>
              </w:rPr>
            </w:pP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1000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钳工实训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（下同）</w:t>
            </w: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焊工实训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r>
              <w:rPr>
                <w:rFonts w:ascii="宋体" w:hAnsi="宋体" w:cs="宋体"/>
                <w:sz w:val="15"/>
                <w:szCs w:val="15"/>
              </w:rPr>
              <w:t>X</w:t>
            </w:r>
            <w:r>
              <w:rPr>
                <w:rFonts w:hint="eastAsia" w:ascii="宋体" w:hAnsi="宋体" w:cs="宋体"/>
                <w:sz w:val="15"/>
                <w:szCs w:val="15"/>
              </w:rPr>
              <w:t>证书综合实训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职业素养培养与企业文化体验</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19200300908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168</w:t>
            </w:r>
          </w:p>
        </w:tc>
        <w:tc>
          <w:tcPr>
            <w:tcW w:w="425" w:type="dxa"/>
            <w:vAlign w:val="center"/>
          </w:tcPr>
          <w:p>
            <w:pPr>
              <w:adjustRightInd w:val="0"/>
              <w:snapToGrid w:val="0"/>
              <w:spacing w:line="400" w:lineRule="exact"/>
              <w:jc w:val="center"/>
              <w:outlineLvl w:val="0"/>
              <w:rPr>
                <w:rFonts w:ascii="宋体" w:hAnsi="宋体" w:cs="宋体"/>
                <w:sz w:val="15"/>
                <w:szCs w:val="15"/>
              </w:rPr>
            </w:pP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168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顶岗实习</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0301013</w:t>
            </w:r>
          </w:p>
        </w:tc>
        <w:tc>
          <w:tcPr>
            <w:tcW w:w="507"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Cs/>
                <w:sz w:val="15"/>
                <w:szCs w:val="15"/>
              </w:rPr>
              <w:t>14</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11</w:t>
            </w: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17</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毕业论文</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0301051</w:t>
            </w:r>
          </w:p>
        </w:tc>
        <w:tc>
          <w:tcPr>
            <w:tcW w:w="507"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8"/>
                <w:szCs w:val="18"/>
              </w:rPr>
              <w:t>五、拓展课程（X）</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21</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392</w:t>
            </w:r>
          </w:p>
        </w:tc>
        <w:tc>
          <w:tcPr>
            <w:tcW w:w="42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312</w:t>
            </w: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80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限1</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汽车运用技术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任1</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现代农业机械应用技术（上）</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16210300900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现代农业机械应用技术（下）</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14210300901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新能源汽车概论</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0301038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电机与电气控制I</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16200300772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公选课</w:t>
            </w:r>
          </w:p>
        </w:tc>
        <w:tc>
          <w:tcPr>
            <w:tcW w:w="4846" w:type="dxa"/>
            <w:gridSpan w:val="7"/>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建议选修经济与管理类，哲学与社会学类，文学与历史文化类课程</w:t>
            </w:r>
          </w:p>
        </w:tc>
        <w:tc>
          <w:tcPr>
            <w:tcW w:w="3969" w:type="dxa"/>
            <w:gridSpan w:val="7"/>
            <w:vAlign w:val="center"/>
          </w:tcPr>
          <w:p>
            <w:pPr>
              <w:spacing w:line="400" w:lineRule="exact"/>
              <w:jc w:val="center"/>
              <w:rPr>
                <w:rFonts w:ascii="宋体" w:hAnsi="宋体" w:cs="宋体"/>
                <w:sz w:val="15"/>
                <w:szCs w:val="15"/>
              </w:rPr>
            </w:pPr>
            <w:r>
              <w:rPr>
                <w:rFonts w:hint="eastAsia" w:ascii="宋体" w:hAnsi="宋体" w:cs="宋体"/>
                <w:sz w:val="15"/>
                <w:szCs w:val="15"/>
              </w:rPr>
              <w:t>至少选修6学分，具体情况见公共选修课总表</w:t>
            </w:r>
          </w:p>
        </w:tc>
        <w:tc>
          <w:tcPr>
            <w:tcW w:w="850" w:type="dxa"/>
          </w:tcPr>
          <w:p>
            <w:pPr>
              <w:spacing w:line="400" w:lineRule="exact"/>
              <w:rPr>
                <w:rFonts w:ascii="宋体" w:hAnsi="宋体" w:cs="宋体"/>
                <w:sz w:val="15"/>
                <w:szCs w:val="15"/>
              </w:rPr>
            </w:pPr>
            <w:r>
              <w:rPr>
                <w:rFonts w:hint="eastAsia" w:ascii="宋体" w:hAnsi="宋体" w:cs="宋体"/>
                <w:sz w:val="15"/>
                <w:szCs w:val="15"/>
              </w:rPr>
              <w:t>教务处</w:t>
            </w:r>
          </w:p>
        </w:tc>
      </w:tr>
    </w:tbl>
    <w:p/>
    <w:p>
      <w:pPr>
        <w:jc w:val="center"/>
      </w:pPr>
      <w:r>
        <w:rPr>
          <w:rFonts w:hint="eastAsia"/>
        </w:rPr>
        <w:t>表7  教学环节时间分配统计表</w:t>
      </w:r>
    </w:p>
    <w:tbl>
      <w:tblPr>
        <w:tblStyle w:val="8"/>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41"/>
        <w:gridCol w:w="992"/>
        <w:gridCol w:w="1134"/>
        <w:gridCol w:w="851"/>
        <w:gridCol w:w="992"/>
        <w:gridCol w:w="992"/>
        <w:gridCol w:w="992"/>
        <w:gridCol w:w="850"/>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学年</w:t>
            </w:r>
          </w:p>
        </w:tc>
        <w:tc>
          <w:tcPr>
            <w:tcW w:w="74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学期</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理论周</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入学教育军训周</w:t>
            </w:r>
          </w:p>
        </w:tc>
        <w:tc>
          <w:tcPr>
            <w:tcW w:w="85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实践周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跟顶岗</w:t>
            </w:r>
          </w:p>
          <w:p>
            <w:pPr>
              <w:adjustRightInd w:val="0"/>
              <w:snapToGrid w:val="0"/>
              <w:jc w:val="center"/>
              <w:outlineLvl w:val="0"/>
              <w:rPr>
                <w:rFonts w:ascii="宋体" w:hAnsi="宋体"/>
                <w:b/>
                <w:color w:val="000000"/>
                <w:szCs w:val="21"/>
              </w:rPr>
            </w:pPr>
            <w:r>
              <w:rPr>
                <w:rFonts w:hint="eastAsia" w:ascii="宋体" w:hAnsi="宋体"/>
                <w:b/>
                <w:color w:val="000000"/>
                <w:szCs w:val="21"/>
              </w:rPr>
              <w:t>实习周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毕业</w:t>
            </w:r>
          </w:p>
          <w:p>
            <w:pPr>
              <w:adjustRightInd w:val="0"/>
              <w:snapToGrid w:val="0"/>
              <w:jc w:val="center"/>
              <w:outlineLvl w:val="0"/>
              <w:rPr>
                <w:rFonts w:ascii="宋体" w:hAnsi="宋体"/>
                <w:b/>
                <w:color w:val="000000"/>
                <w:szCs w:val="21"/>
              </w:rPr>
            </w:pPr>
            <w:r>
              <w:rPr>
                <w:rFonts w:hint="eastAsia" w:ascii="宋体" w:hAnsi="宋体"/>
                <w:b/>
                <w:color w:val="000000"/>
                <w:szCs w:val="21"/>
              </w:rPr>
              <w:t>论文周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公益</w:t>
            </w:r>
          </w:p>
          <w:p>
            <w:pPr>
              <w:adjustRightInd w:val="0"/>
              <w:snapToGrid w:val="0"/>
              <w:jc w:val="center"/>
              <w:outlineLvl w:val="0"/>
              <w:rPr>
                <w:rFonts w:ascii="宋体" w:hAnsi="宋体"/>
                <w:b/>
                <w:color w:val="000000"/>
                <w:szCs w:val="21"/>
              </w:rPr>
            </w:pPr>
            <w:r>
              <w:rPr>
                <w:rFonts w:hint="eastAsia" w:ascii="宋体" w:hAnsi="宋体"/>
                <w:b/>
                <w:color w:val="000000"/>
                <w:szCs w:val="21"/>
              </w:rPr>
              <w:t>假期周</w:t>
            </w:r>
          </w:p>
        </w:tc>
        <w:tc>
          <w:tcPr>
            <w:tcW w:w="850"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考试周劳动周</w:t>
            </w:r>
          </w:p>
        </w:tc>
        <w:tc>
          <w:tcPr>
            <w:tcW w:w="86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12</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13</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4</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15</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合计</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r>
              <w:rPr>
                <w:rFonts w:ascii="宋体" w:hAnsi="宋体"/>
                <w:color w:val="000000"/>
                <w:szCs w:val="21"/>
              </w:rPr>
              <w:t>8</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6</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r>
              <w:rPr>
                <w:rFonts w:ascii="宋体" w:hAnsi="宋体"/>
                <w:color w:val="000000"/>
                <w:szCs w:val="21"/>
              </w:rPr>
              <w:t>9</w:t>
            </w:r>
          </w:p>
        </w:tc>
      </w:tr>
    </w:tbl>
    <w:p/>
    <w:p>
      <w:pPr>
        <w:jc w:val="center"/>
      </w:pPr>
      <w:r>
        <w:rPr>
          <w:rFonts w:hint="eastAsia"/>
        </w:rPr>
        <w:t>表8  课程结构分析表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851"/>
        <w:gridCol w:w="1134"/>
        <w:gridCol w:w="991"/>
        <w:gridCol w:w="1134"/>
        <w:gridCol w:w="1133"/>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restart"/>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课程类别</w:t>
            </w:r>
          </w:p>
        </w:tc>
        <w:tc>
          <w:tcPr>
            <w:tcW w:w="1985" w:type="dxa"/>
            <w:gridSpan w:val="2"/>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学分</w:t>
            </w:r>
          </w:p>
        </w:tc>
        <w:tc>
          <w:tcPr>
            <w:tcW w:w="2126" w:type="dxa"/>
            <w:gridSpan w:val="2"/>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学时</w:t>
            </w:r>
          </w:p>
        </w:tc>
        <w:tc>
          <w:tcPr>
            <w:tcW w:w="2466" w:type="dxa"/>
            <w:gridSpan w:val="2"/>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实践性学时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continue"/>
            <w:shd w:val="clear" w:color="auto" w:fill="BFBFBF"/>
            <w:vAlign w:val="center"/>
          </w:tcPr>
          <w:p>
            <w:pPr>
              <w:adjustRightInd w:val="0"/>
              <w:snapToGrid w:val="0"/>
              <w:jc w:val="center"/>
              <w:outlineLvl w:val="0"/>
              <w:rPr>
                <w:rFonts w:ascii="宋体" w:hAnsi="宋体" w:cs="宋体"/>
                <w:b/>
                <w:color w:val="000000"/>
                <w:szCs w:val="21"/>
              </w:rPr>
            </w:pPr>
          </w:p>
        </w:tc>
        <w:tc>
          <w:tcPr>
            <w:tcW w:w="851"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学分</w:t>
            </w:r>
          </w:p>
        </w:tc>
        <w:tc>
          <w:tcPr>
            <w:tcW w:w="1134"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百分比</w:t>
            </w:r>
          </w:p>
        </w:tc>
        <w:tc>
          <w:tcPr>
            <w:tcW w:w="992"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学时</w:t>
            </w:r>
          </w:p>
        </w:tc>
        <w:tc>
          <w:tcPr>
            <w:tcW w:w="1134"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百分比</w:t>
            </w:r>
          </w:p>
        </w:tc>
        <w:tc>
          <w:tcPr>
            <w:tcW w:w="1134"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实践学时</w:t>
            </w:r>
          </w:p>
        </w:tc>
        <w:tc>
          <w:tcPr>
            <w:tcW w:w="1332" w:type="dxa"/>
            <w:shd w:val="clear" w:color="auto" w:fill="BFBFBF"/>
            <w:vAlign w:val="center"/>
          </w:tcPr>
          <w:p>
            <w:pPr>
              <w:adjustRightInd w:val="0"/>
              <w:snapToGrid w:val="0"/>
              <w:jc w:val="center"/>
              <w:outlineLvl w:val="0"/>
              <w:rPr>
                <w:rFonts w:ascii="宋体" w:hAnsi="宋体" w:cs="宋体"/>
                <w:b/>
                <w:color w:val="000000"/>
                <w:szCs w:val="21"/>
              </w:rPr>
            </w:pPr>
            <w:r>
              <w:rPr>
                <w:rFonts w:hint="eastAsia" w:ascii="宋体" w:hAnsi="宋体" w:cs="宋体"/>
                <w:b/>
                <w:color w:val="000000"/>
                <w:szCs w:val="21"/>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公共基础课程</w:t>
            </w:r>
          </w:p>
        </w:tc>
        <w:tc>
          <w:tcPr>
            <w:tcW w:w="85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36.5</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28.52%</w:t>
            </w:r>
          </w:p>
        </w:tc>
        <w:tc>
          <w:tcPr>
            <w:tcW w:w="99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689</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23.73%</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411</w:t>
            </w:r>
          </w:p>
        </w:tc>
        <w:tc>
          <w:tcPr>
            <w:tcW w:w="133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专业平台课程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14.06%</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312</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10.75%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104</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专业技术课程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29.0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22.65%</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510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17.57%</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242</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专业实践课程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18.36%</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34.45%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bottom w:val="single" w:color="auto" w:sz="4" w:space="0"/>
            </w:tcBorders>
            <w:shd w:val="clear" w:color="auto" w:fill="auto"/>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拓展课程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21.0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16.40%</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392</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13.50%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78</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总学分</w:t>
            </w:r>
          </w:p>
        </w:tc>
        <w:tc>
          <w:tcPr>
            <w:tcW w:w="1985"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128</w:t>
            </w:r>
          </w:p>
        </w:tc>
        <w:tc>
          <w:tcPr>
            <w:tcW w:w="212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总学时</w:t>
            </w:r>
          </w:p>
        </w:tc>
        <w:tc>
          <w:tcPr>
            <w:tcW w:w="246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2903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实践性教学总学时</w:t>
            </w:r>
          </w:p>
        </w:tc>
        <w:tc>
          <w:tcPr>
            <w:tcW w:w="1985"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1835</w:t>
            </w:r>
          </w:p>
        </w:tc>
        <w:tc>
          <w:tcPr>
            <w:tcW w:w="212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实践性教学总百分比</w:t>
            </w:r>
          </w:p>
        </w:tc>
        <w:tc>
          <w:tcPr>
            <w:tcW w:w="246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63.21%</w:t>
            </w:r>
          </w:p>
        </w:tc>
      </w:tr>
    </w:tbl>
    <w:p/>
    <w:p>
      <w:pPr>
        <w:adjustRightInd w:val="0"/>
        <w:snapToGrid w:val="0"/>
        <w:spacing w:before="120" w:beforeLines="50" w:after="120" w:afterLines="50" w:line="520" w:lineRule="exact"/>
        <w:ind w:firstLine="551" w:firstLineChars="196"/>
        <w:jc w:val="left"/>
        <w:outlineLvl w:val="0"/>
        <w:rPr>
          <w:rFonts w:ascii="宋体" w:hAnsi="宋体"/>
          <w:b/>
          <w:color w:val="000000"/>
          <w:sz w:val="28"/>
        </w:rPr>
      </w:pPr>
      <w:r>
        <w:rPr>
          <w:rFonts w:hint="eastAsia" w:ascii="宋体" w:hAnsi="宋体"/>
          <w:b/>
          <w:color w:val="000000"/>
          <w:sz w:val="28"/>
        </w:rPr>
        <w:t>六、其他说明</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1.专业建设模式特色</w:t>
      </w:r>
    </w:p>
    <w:p>
      <w:pPr>
        <w:spacing w:line="520" w:lineRule="exact"/>
        <w:ind w:firstLine="480" w:firstLineChars="200"/>
        <w:rPr>
          <w:sz w:val="24"/>
        </w:rPr>
      </w:pPr>
      <w:r>
        <w:rPr>
          <w:rFonts w:hint="eastAsia"/>
          <w:sz w:val="24"/>
        </w:rPr>
        <w:t>2+1教学模式，2年校内，1年企业顶岗实践，工学交替的人才培养模式。</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2.课程体系特色</w:t>
      </w:r>
    </w:p>
    <w:p>
      <w:pPr>
        <w:spacing w:line="520" w:lineRule="exact"/>
        <w:ind w:firstLine="480" w:firstLineChars="200"/>
        <w:rPr>
          <w:sz w:val="24"/>
        </w:rPr>
      </w:pPr>
      <w:r>
        <w:rPr>
          <w:rFonts w:hint="eastAsia"/>
          <w:sz w:val="24"/>
        </w:rPr>
        <w:t>专业核心课程全部采取理实一体的授课模式，使学生在做中学、在学中做，提升实践技能；以柴油机高压共轨技术为专业特色平台，以商用车和农业机械后市场为特色就业渠道，配合拓展课程在保证学生至少掌握一门市场紧缺技术的同时拓宽就业方向；思政教育进入专业课课堂，立德树人润物无声。</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七、实施保障</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1.师资队伍</w:t>
      </w:r>
    </w:p>
    <w:p>
      <w:pPr>
        <w:spacing w:line="520" w:lineRule="exact"/>
        <w:ind w:firstLine="480" w:firstLineChars="200"/>
        <w:rPr>
          <w:sz w:val="24"/>
        </w:rPr>
      </w:pPr>
      <w:r>
        <w:rPr>
          <w:rFonts w:hint="eastAsia"/>
          <w:sz w:val="24"/>
        </w:rPr>
        <w:t>学生数与本专业专任教师数比例不高于25：1，双师素质教师占专业教师比例一般不低于60%，专任教师队伍要考虑职称、年龄，形成合理的梯队结构。</w:t>
      </w:r>
    </w:p>
    <w:p>
      <w:pPr>
        <w:spacing w:line="520" w:lineRule="exact"/>
        <w:ind w:firstLine="480" w:firstLineChars="200"/>
        <w:rPr>
          <w:sz w:val="24"/>
        </w:rPr>
      </w:pPr>
      <w:r>
        <w:rPr>
          <w:rFonts w:hint="eastAsia"/>
          <w:sz w:val="24"/>
        </w:rPr>
        <w:t>专任教师应具有高校教师资格；有理想信念、有道德情操、有扎实学识、有仁爱之心；具有车辆工程、汽车服务工程等相关专业本科及以上学历；具有扎实的本专业相关理论功底和实践能力；具有较强信息化教学能力，能够开展课程教学改革和科学研究；有每5年累计不少于6个月的企业实践经历。</w:t>
      </w:r>
    </w:p>
    <w:p>
      <w:pPr>
        <w:spacing w:line="520" w:lineRule="exact"/>
        <w:ind w:firstLine="480" w:firstLineChars="200"/>
        <w:rPr>
          <w:sz w:val="24"/>
        </w:rPr>
      </w:pPr>
      <w:r>
        <w:rPr>
          <w:rFonts w:hint="eastAsia"/>
          <w:sz w:val="24"/>
        </w:rPr>
        <w:t>专业带头人原则上应具有副高及以上职称，能够较好地把握国内外汽车检测与维修技术行业、专业发展，能广泛联系行业企业，了解行业企业对本专业人才的需求实际，教学设计、专业研究能力强，组织开展教科研工作能力强，在本区域或本领域具有一定的专业影响力。</w:t>
      </w:r>
    </w:p>
    <w:p>
      <w:pPr>
        <w:spacing w:line="520" w:lineRule="exact"/>
        <w:ind w:firstLine="480" w:firstLineChars="200"/>
        <w:rPr>
          <w:sz w:val="24"/>
        </w:rPr>
      </w:pPr>
      <w:r>
        <w:rPr>
          <w:rFonts w:hint="eastAsia"/>
          <w:sz w:val="24"/>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对专兼职教师的数量、结构、素质等提出有关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2.教学设施</w:t>
      </w:r>
    </w:p>
    <w:p>
      <w:pPr>
        <w:spacing w:line="520" w:lineRule="exact"/>
        <w:ind w:firstLine="480" w:firstLineChars="200"/>
        <w:rPr>
          <w:sz w:val="24"/>
        </w:rPr>
      </w:pPr>
      <w:r>
        <w:rPr>
          <w:rFonts w:hint="eastAsia"/>
          <w:sz w:val="24"/>
        </w:rPr>
        <w:t>专业教室一般配备黑（白）板、多媒体计算机、投影设备、音响设备，互联网接入或Wi-Fi环境，并实施网络安全防护措施；安装应急照明装置并保持良好状态，符合紧急疏散要求，标志明显，保持逃生通道畅通无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3.教学资源</w:t>
      </w:r>
    </w:p>
    <w:p>
      <w:pPr>
        <w:spacing w:line="520" w:lineRule="exact"/>
        <w:ind w:firstLine="480" w:firstLineChars="200"/>
        <w:rPr>
          <w:sz w:val="24"/>
        </w:rPr>
      </w:pPr>
      <w:r>
        <w:rPr>
          <w:rFonts w:hint="eastAsia"/>
          <w:sz w:val="24"/>
        </w:rPr>
        <w:t>教学资源主要包括能够满足学生专业学习、教师专业教学研究和教学实施所需的教材、图书文献及数字教学资源等。</w:t>
      </w:r>
    </w:p>
    <w:p>
      <w:pPr>
        <w:spacing w:line="520" w:lineRule="exact"/>
        <w:ind w:firstLine="480" w:firstLineChars="200"/>
        <w:rPr>
          <w:sz w:val="24"/>
        </w:rPr>
      </w:pPr>
      <w:r>
        <w:rPr>
          <w:rFonts w:hint="eastAsia"/>
          <w:sz w:val="24"/>
        </w:rPr>
        <w:t>教材选用基本要求按照国家规定选用优质教材，禁止不合格的教材进入课堂。学校应建立专业教师、行业专家和教研人员等参与的教材选用机构，完善教材选用制度，经过规范程序择优选用教材。</w:t>
      </w:r>
    </w:p>
    <w:p>
      <w:pPr>
        <w:spacing w:line="520" w:lineRule="exact"/>
        <w:ind w:firstLine="480" w:firstLineChars="200"/>
        <w:rPr>
          <w:sz w:val="24"/>
        </w:rPr>
      </w:pPr>
      <w:r>
        <w:rPr>
          <w:rFonts w:hint="eastAsia"/>
          <w:sz w:val="24"/>
        </w:rPr>
        <w:t>图书文献配备基本要求配备能满足人才培养、专业建设、教科研等工作的需要，方便师生查询、借阅。专业类图书文献主要包括：汽车制造行业政策法规、行业标准、技术规范以及主流汽车品牌相应车型的维修手册、电气与电子工艺手册等；汽车检测与维修专业类技术图书和实务案例类图书；5种以上汽车检测与维修专业学术期刊等。</w:t>
      </w:r>
    </w:p>
    <w:p>
      <w:pPr>
        <w:spacing w:line="520" w:lineRule="exact"/>
        <w:ind w:firstLine="480" w:firstLineChars="200"/>
        <w:rPr>
          <w:sz w:val="24"/>
        </w:rPr>
      </w:pPr>
      <w:r>
        <w:rPr>
          <w:rFonts w:hint="eastAsia"/>
          <w:sz w:val="24"/>
        </w:rPr>
        <w:t>数字教学资源配置基本要求建设、配备与本专业有关的音视频素材、教学课件、数字化教学案例库、虚拟仿真软件、数字教材等专业教学资源库，应种类丰富、形式多样、使用便捷、动态更新，能满足教学要求。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4.教学方法</w:t>
      </w:r>
    </w:p>
    <w:p>
      <w:pPr>
        <w:spacing w:line="520" w:lineRule="exact"/>
        <w:ind w:firstLine="480" w:firstLineChars="200"/>
        <w:rPr>
          <w:sz w:val="24"/>
        </w:rPr>
      </w:pPr>
      <w:r>
        <w:rPr>
          <w:rFonts w:hint="eastAsia"/>
          <w:sz w:val="24"/>
        </w:rPr>
        <w:t>专业核心课程应采用理实一体的项目化教学模式，多采用启发式教学，重点培养可持续发展与动手能力。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5.学习评价</w:t>
      </w:r>
    </w:p>
    <w:p>
      <w:pPr>
        <w:spacing w:line="520" w:lineRule="exact"/>
        <w:ind w:firstLine="480" w:firstLineChars="200"/>
        <w:rPr>
          <w:sz w:val="24"/>
        </w:rPr>
      </w:pPr>
      <w:r>
        <w:rPr>
          <w:rFonts w:hint="eastAsia"/>
          <w:sz w:val="24"/>
        </w:rPr>
        <w:t>根据课程性质选择灵活多样的学习评价方式，注重技能评价与素质评价。</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6.质量管理</w:t>
      </w:r>
    </w:p>
    <w:p>
      <w:pPr>
        <w:spacing w:line="520" w:lineRule="exact"/>
        <w:ind w:firstLine="480" w:firstLineChars="200"/>
        <w:rPr>
          <w:sz w:val="24"/>
        </w:rPr>
      </w:pPr>
      <w:r>
        <w:rPr>
          <w:rFonts w:hint="eastAsia"/>
          <w:sz w:val="24"/>
        </w:rPr>
        <w:t>学校和二级院系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520" w:lineRule="exact"/>
        <w:ind w:firstLine="480" w:firstLineChars="200"/>
        <w:rPr>
          <w:sz w:val="24"/>
        </w:rPr>
      </w:pPr>
      <w:r>
        <w:rPr>
          <w:rFonts w:hint="eastAsia"/>
          <w:sz w:val="24"/>
        </w:rPr>
        <w:t>学校和二级院系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520" w:lineRule="exact"/>
        <w:ind w:firstLine="480" w:firstLineChars="200"/>
        <w:rPr>
          <w:sz w:val="24"/>
        </w:rPr>
      </w:pPr>
      <w:r>
        <w:rPr>
          <w:rFonts w:hint="eastAsia"/>
          <w:sz w:val="24"/>
        </w:rPr>
        <w:t>学校应建立毕业生跟踪反馈机制及社会评价机制，并对生源情况、在校生学业水平、毕业生就业情况等进行分析，定期评价人才培养质量和培养目标达成情况。</w:t>
      </w:r>
    </w:p>
    <w:p>
      <w:pPr>
        <w:spacing w:line="520" w:lineRule="exact"/>
        <w:ind w:firstLine="480" w:firstLineChars="200"/>
        <w:rPr>
          <w:sz w:val="24"/>
        </w:rPr>
      </w:pPr>
      <w:r>
        <w:rPr>
          <w:rFonts w:hint="eastAsia"/>
          <w:sz w:val="24"/>
        </w:rPr>
        <w:t>专业教研组织应充分利用评价分析结果有效改进专业教学，持续提高人才培养质量。</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八、毕业标准</w:t>
      </w:r>
      <w:bookmarkStart w:id="16" w:name="_Toc211237123"/>
      <w:bookmarkStart w:id="17" w:name="_Toc211270851"/>
      <w:bookmarkStart w:id="18" w:name="_Toc211083944"/>
      <w:bookmarkStart w:id="19" w:name="_Toc211250623"/>
      <w:bookmarkStart w:id="20" w:name="_Toc211260328"/>
    </w:p>
    <w:p>
      <w:pPr>
        <w:spacing w:line="520" w:lineRule="exact"/>
        <w:ind w:firstLine="480" w:firstLineChars="200"/>
        <w:rPr>
          <w:sz w:val="24"/>
          <w:szCs w:val="32"/>
        </w:rPr>
      </w:pPr>
      <w:r>
        <w:rPr>
          <w:rFonts w:hint="eastAsia"/>
          <w:sz w:val="24"/>
          <w:szCs w:val="32"/>
        </w:rPr>
        <w:t>毕业生要具备以下要件：</w:t>
      </w:r>
    </w:p>
    <w:p>
      <w:pPr>
        <w:spacing w:line="520" w:lineRule="exact"/>
        <w:ind w:firstLine="480" w:firstLineChars="200"/>
        <w:rPr>
          <w:sz w:val="24"/>
          <w:szCs w:val="32"/>
        </w:rPr>
      </w:pPr>
      <w:r>
        <w:rPr>
          <w:rFonts w:hint="eastAsia"/>
          <w:sz w:val="24"/>
          <w:szCs w:val="32"/>
        </w:rPr>
        <w:t>1.具有良好的思想道德和职业品德。在校修业期间累计折合获得操行学分不少于6学分，公益劳动学分4-6学分（6学分为上限）。</w:t>
      </w:r>
    </w:p>
    <w:p>
      <w:pPr>
        <w:spacing w:line="520" w:lineRule="exact"/>
        <w:ind w:firstLine="480" w:firstLineChars="200"/>
        <w:rPr>
          <w:sz w:val="24"/>
          <w:szCs w:val="32"/>
        </w:rPr>
      </w:pPr>
      <w:r>
        <w:rPr>
          <w:rFonts w:hint="eastAsia"/>
          <w:sz w:val="24"/>
          <w:szCs w:val="32"/>
        </w:rPr>
        <w:t>2. 通过本培养方案规定的全部教学环节。在校修业期间累计必修课程学分107学分，选修课程不少于21学分（限选3分+专业任选12分+公共任选6分）。</w:t>
      </w:r>
    </w:p>
    <w:p>
      <w:pPr>
        <w:spacing w:line="520" w:lineRule="exact"/>
        <w:ind w:firstLine="480" w:firstLineChars="200"/>
        <w:rPr>
          <w:sz w:val="24"/>
          <w:szCs w:val="32"/>
        </w:rPr>
      </w:pPr>
      <w:r>
        <w:rPr>
          <w:rFonts w:hint="eastAsia"/>
          <w:sz w:val="24"/>
          <w:szCs w:val="32"/>
        </w:rPr>
        <w:t>3.在学习的道路上积极努力，勇攀高峰。在校修业期间累计折合获得奖励学分4-6学分（6学分为上限）。奖励学分的认定及可置换课程学分按照“吉林工程职业学院学分制实施细则”相关规定认定置换。</w:t>
      </w:r>
    </w:p>
    <w:p>
      <w:pPr>
        <w:spacing w:line="520" w:lineRule="exact"/>
        <w:ind w:firstLine="480" w:firstLineChars="200"/>
        <w:rPr>
          <w:sz w:val="24"/>
          <w:szCs w:val="32"/>
        </w:rPr>
      </w:pPr>
      <w:r>
        <w:rPr>
          <w:rFonts w:hint="eastAsia"/>
          <w:sz w:val="24"/>
          <w:szCs w:val="32"/>
        </w:rPr>
        <w:t>4.修业年满，总学分（操行学分+必修课学分+选修课学分+奖励学分）大于等于140学分方达到毕业条件。</w:t>
      </w:r>
    </w:p>
    <w:bookmarkEnd w:id="16"/>
    <w:bookmarkEnd w:id="17"/>
    <w:bookmarkEnd w:id="18"/>
    <w:bookmarkEnd w:id="19"/>
    <w:bookmarkEnd w:id="20"/>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九、专业建设工作委员会</w:t>
      </w:r>
    </w:p>
    <w:p>
      <w:pPr>
        <w:spacing w:line="520" w:lineRule="exact"/>
        <w:ind w:firstLine="480" w:firstLineChars="200"/>
        <w:rPr>
          <w:sz w:val="24"/>
          <w:szCs w:val="32"/>
        </w:rPr>
      </w:pPr>
      <w:r>
        <w:rPr>
          <w:rFonts w:hint="eastAsia"/>
          <w:sz w:val="24"/>
          <w:szCs w:val="32"/>
        </w:rPr>
        <w:t>成立由行业企业专家、教科研人员、一线教师和学生（毕业生）代表组成的专业建设委员会。</w:t>
      </w:r>
    </w:p>
    <w:p>
      <w:pPr>
        <w:pStyle w:val="12"/>
        <w:rPr>
          <w:rFonts w:cs="宋体"/>
          <w:b w:val="0"/>
          <w:color w:val="000000"/>
          <w:sz w:val="21"/>
          <w:szCs w:val="21"/>
        </w:rPr>
      </w:pPr>
      <w:r>
        <w:rPr>
          <w:rFonts w:hint="eastAsia" w:cs="宋体"/>
          <w:b w:val="0"/>
          <w:color w:val="000000"/>
          <w:sz w:val="21"/>
          <w:szCs w:val="21"/>
        </w:rPr>
        <w:t>表9  专业建设指导委员会</w:t>
      </w:r>
    </w:p>
    <w:tbl>
      <w:tblPr>
        <w:tblStyle w:val="8"/>
        <w:tblpPr w:leftFromText="180" w:rightFromText="180" w:vertAnchor="text" w:horzAnchor="margin" w:tblpXSpec="center"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3"/>
        <w:gridCol w:w="1559"/>
        <w:gridCol w:w="2410"/>
        <w:gridCol w:w="170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675"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序号</w:t>
            </w:r>
          </w:p>
        </w:tc>
        <w:tc>
          <w:tcPr>
            <w:tcW w:w="993"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姓名</w:t>
            </w:r>
          </w:p>
        </w:tc>
        <w:tc>
          <w:tcPr>
            <w:tcW w:w="1559"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专业教学工作委员会职务</w:t>
            </w:r>
          </w:p>
        </w:tc>
        <w:tc>
          <w:tcPr>
            <w:tcW w:w="241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工作单位</w:t>
            </w:r>
          </w:p>
        </w:tc>
        <w:tc>
          <w:tcPr>
            <w:tcW w:w="1701"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单位职务</w:t>
            </w:r>
          </w:p>
        </w:tc>
        <w:tc>
          <w:tcPr>
            <w:tcW w:w="85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napToGrid w:val="0"/>
              <w:spacing w:line="400" w:lineRule="exact"/>
              <w:jc w:val="center"/>
              <w:rPr>
                <w:rFonts w:ascii="宋体" w:hAnsi="宋体" w:cs="宋体"/>
                <w:color w:val="000000"/>
                <w:szCs w:val="21"/>
              </w:rPr>
            </w:pPr>
            <w:r>
              <w:rPr>
                <w:rFonts w:hint="eastAsia" w:ascii="宋体" w:hAnsi="宋体" w:cs="宋体"/>
                <w:color w:val="000000"/>
                <w:szCs w:val="21"/>
              </w:rPr>
              <w:t>1</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李波</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张志文</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张旭</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济南英创天元教育科技有限公司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销售部经理</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4</w:t>
            </w:r>
          </w:p>
        </w:tc>
        <w:tc>
          <w:tcPr>
            <w:tcW w:w="993" w:type="dxa"/>
            <w:vAlign w:val="center"/>
          </w:tcPr>
          <w:p>
            <w:pPr>
              <w:spacing w:line="400" w:lineRule="exact"/>
              <w:jc w:val="center"/>
              <w:rPr>
                <w:rFonts w:ascii="宋体" w:hAnsi="宋体" w:cs="宋体"/>
                <w:color w:val="000000"/>
                <w:szCs w:val="21"/>
              </w:rPr>
            </w:pPr>
            <w:r>
              <w:rPr>
                <w:rFonts w:hint="eastAsia" w:ascii="宋体" w:hAnsi="宋体"/>
                <w:color w:val="000000"/>
                <w:szCs w:val="21"/>
              </w:rPr>
              <w:t>杨铁成</w:t>
            </w:r>
          </w:p>
        </w:tc>
        <w:tc>
          <w:tcPr>
            <w:tcW w:w="1559" w:type="dxa"/>
            <w:vAlign w:val="center"/>
          </w:tcPr>
          <w:p>
            <w:pPr>
              <w:spacing w:line="400" w:lineRule="exact"/>
              <w:ind w:firstLine="420" w:firstLineChars="200"/>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szCs w:val="21"/>
              </w:rPr>
            </w:pPr>
            <w:r>
              <w:rPr>
                <w:rFonts w:hint="eastAsia" w:ascii="宋体" w:hAnsi="宋体"/>
                <w:color w:val="000000"/>
                <w:szCs w:val="21"/>
              </w:rPr>
              <w:t>吉林省康达农业机械有限公司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olor w:val="000000"/>
                <w:szCs w:val="21"/>
              </w:rPr>
              <w:t>董事长</w:t>
            </w:r>
          </w:p>
        </w:tc>
        <w:tc>
          <w:tcPr>
            <w:tcW w:w="850" w:type="dxa"/>
            <w:vAlign w:val="center"/>
          </w:tcPr>
          <w:p>
            <w:pPr>
              <w:spacing w:line="400" w:lineRule="exact"/>
              <w:jc w:val="center"/>
              <w:rPr>
                <w:rFonts w:ascii="宋体" w:hAnsi="宋体" w:cs="宋体"/>
                <w:color w:val="000000"/>
                <w:szCs w:val="21"/>
              </w:rPr>
            </w:pPr>
            <w:r>
              <w:rPr>
                <w:rFonts w:hint="eastAsia" w:ascii="宋体" w:hAnsi="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姜峰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6</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王文斌</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7</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孙淑敏</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农机教研室主任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8</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赵殿明</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专业课教师</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9</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段峙辰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青岛福林汽车服务有限公司</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服务顾问</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w:t>
            </w:r>
          </w:p>
        </w:tc>
      </w:tr>
    </w:tbl>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7208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3.55pt;mso-position-horizontal:center;mso-position-horizontal-relative:margin;mso-wrap-style:none;z-index:251659264;mso-width-relative:page;mso-height-relative:page;" filled="f" stroked="f" coordsize="21600,21600" o:gfxdata="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qzP2dEAAAADAQAADwAAAAAAAAABACAAAAAiAAAAZHJzL2Rvd25yZXYueG1sUEsBAhQA&#10;FAAAAAgAh07iQGDW1SoyAgAAVQQAAA4AAAAAAAAAAQAgAAAAIAEAAGRycy9lMm9Eb2MueG1sUEsF&#10;BgAAAAAGAAYAWQEAAMQFAAAAAA==&#10;">
              <v:fill on="f" focussize="0,0"/>
              <v:stroke on="f" weight="0.5pt"/>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fldChar w:fldCharType="begin"/>
    </w:r>
    <w:r>
      <w:rPr>
        <w:rStyle w:val="10"/>
      </w:rPr>
      <w:instrText xml:space="preserve">PAGE  </w:instrTex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0E24C6"/>
    <w:multiLevelType w:val="multilevel"/>
    <w:tmpl w:val="3C0E24C6"/>
    <w:lvl w:ilvl="0" w:tentative="0">
      <w:start w:val="1"/>
      <w:numFmt w:val="japaneseCounting"/>
      <w:lvlText w:val="%1、"/>
      <w:lvlJc w:val="left"/>
      <w:pPr>
        <w:ind w:left="1162" w:hanging="60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YjM2MzYxY2Q3YjI3NTVmODFiOWQ5ZGU1ODIxMGUifQ=="/>
  </w:docVars>
  <w:rsids>
    <w:rsidRoot w:val="00000000"/>
    <w:rsid w:val="5B777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360" w:lineRule="auto"/>
      <w:outlineLvl w:val="0"/>
    </w:pPr>
    <w:rPr>
      <w:rFonts w:ascii="宋体" w:hAnsi="宋体"/>
      <w:color w:val="000000"/>
      <w:sz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caption"/>
    <w:basedOn w:val="1"/>
    <w:next w:val="1"/>
    <w:qFormat/>
    <w:uiPriority w:val="0"/>
    <w:pPr>
      <w:spacing w:beforeLines="50" w:afterLines="50" w:line="276" w:lineRule="auto"/>
      <w:jc w:val="center"/>
    </w:pPr>
    <w:rPr>
      <w:rFonts w:ascii="Cambria" w:hAnsi="Cambria"/>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Title"/>
    <w:basedOn w:val="1"/>
    <w:next w:val="1"/>
    <w:qFormat/>
    <w:uiPriority w:val="0"/>
    <w:pPr>
      <w:snapToGrid w:val="0"/>
      <w:spacing w:before="50" w:beforeLines="50" w:after="150" w:afterLines="150" w:line="360" w:lineRule="auto"/>
      <w:jc w:val="center"/>
      <w:outlineLvl w:val="0"/>
    </w:pPr>
    <w:rPr>
      <w:rFonts w:ascii="宋体" w:hAnsi="宋体"/>
      <w:b/>
      <w:color w:val="000000"/>
      <w:sz w:val="44"/>
      <w:szCs w:val="44"/>
    </w:rPr>
  </w:style>
  <w:style w:type="character" w:styleId="10">
    <w:name w:val="page number"/>
    <w:basedOn w:val="9"/>
    <w:qFormat/>
    <w:uiPriority w:val="0"/>
  </w:style>
  <w:style w:type="paragraph" w:customStyle="1" w:styleId="11">
    <w:name w:val="_Style 2"/>
    <w:basedOn w:val="2"/>
    <w:next w:val="1"/>
    <w:unhideWhenUsed/>
    <w:qFormat/>
    <w:uiPriority w:val="39"/>
    <w:pPr>
      <w:keepNext/>
      <w:keepLines/>
      <w:widowControl/>
      <w:spacing w:before="480" w:line="276" w:lineRule="auto"/>
      <w:jc w:val="left"/>
      <w:outlineLvl w:val="9"/>
    </w:pPr>
    <w:rPr>
      <w:rFonts w:ascii="Cambria" w:hAnsi="Cambria"/>
      <w:bCs/>
      <w:color w:val="365F91"/>
      <w:kern w:val="0"/>
      <w:szCs w:val="28"/>
    </w:rPr>
  </w:style>
  <w:style w:type="paragraph" w:customStyle="1" w:styleId="12">
    <w:name w:val="表头1"/>
    <w:basedOn w:val="1"/>
    <w:qFormat/>
    <w:uiPriority w:val="0"/>
    <w:pPr>
      <w:snapToGrid w:val="0"/>
      <w:spacing w:line="360" w:lineRule="auto"/>
      <w:jc w:val="center"/>
    </w:pPr>
    <w:rPr>
      <w:rFonts w:ascii="宋体" w:hAnsi="宋体"/>
      <w:b/>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2023-11-12T23:52:13Z</dcterms:created>
  <dc:creator>lenovo</dc:creator>
  <cp:lastModifiedBy>peakjiang</cp:lastModifiedBy>
  <dcterms:modified xsi:type="dcterms:W3CDTF">2023-11-12T23:53:07Z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235D5AD8016443A994F968F06FEC43B8_12</vt:lpwstr>
  </property>
</Properties>
</file>