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吉林工程职业学院专职辅导员岗位</w:t>
      </w: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笔试参考范围</w:t>
      </w:r>
    </w:p>
    <w:p>
      <w:pPr>
        <w:rPr>
          <w:rFonts w:hint="eastAsia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1.公务员考试通用知识（政治、法律、时事政治与国情省情、常识判断、实用写作、其它）；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2.有关高等学校学生管理相关政策：中华人民共和国教育部令第43号《普通高等学校辅导员队伍建设规定》、《中共中央 国务院关于加强和改进新形势下高校思想政治工作的意见》（中发〔2016〕31号）、吉林省教育厅印发《关于进一步加强和改进新时代吉林省高校辅导员队伍建设的意见》的通知（吉教思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政〔2018〕14号）等；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3.辅导员职业能力（处理学生突发事件的能力，处理学生之间的纠纷的能力，处理学生心理问题的能力，及与家长沟通的技巧等）。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2ZTQ3YzQ4MmM4ZmFjYTAzYTYzMzk4OTVjY2YxMjcifQ=="/>
  </w:docVars>
  <w:rsids>
    <w:rsidRoot w:val="0099040F"/>
    <w:rsid w:val="00735480"/>
    <w:rsid w:val="007F7A46"/>
    <w:rsid w:val="0099040F"/>
    <w:rsid w:val="00F56B8E"/>
    <w:rsid w:val="00FD0AB6"/>
    <w:rsid w:val="1D5B2112"/>
    <w:rsid w:val="39FE581D"/>
    <w:rsid w:val="4AB23766"/>
    <w:rsid w:val="6667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before="100" w:beforeAutospacing="1"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rFonts w:ascii="Tahoma" w:hAnsi="Tahoma" w:eastAsia="微软雅黑" w:cs="Times New Roman"/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rFonts w:ascii="Tahoma" w:hAnsi="Tahoma" w:eastAsia="微软雅黑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42</Words>
  <Characters>241</Characters>
  <Lines>2</Lines>
  <Paragraphs>1</Paragraphs>
  <TotalTime>0</TotalTime>
  <ScaleCrop>false</ScaleCrop>
  <LinksUpToDate>false</LinksUpToDate>
  <CharactersWithSpaces>282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2022-05-17T01:41:00Z</dcterms:created>
  <dc:creator>Administrator</dc:creator>
  <cp:lastModifiedBy>Administrator</cp:lastModifiedBy>
  <dcterms:modified xsi:type="dcterms:W3CDTF">2023-07-07T00:09:22Z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D592671EF87D4C7CA8EAF430AC985DDD</vt:lpwstr>
  </property>
</Properties>
</file>