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napToGrid w:val="0"/>
        <w:spacing w:before="468" w:beforeLines="150"/>
        <w:jc w:val="center"/>
        <w:rPr>
          <w:rFonts w:ascii="黑体" w:hAnsi="宋体" w:eastAsia="黑体"/>
          <w:b/>
          <w:color w:val="FF0000"/>
          <w:w w:val="80"/>
          <w:kern w:val="0"/>
          <w:sz w:val="116"/>
          <w:szCs w:val="116"/>
        </w:rPr>
      </w:pPr>
      <w:r>
        <w:rPr>
          <w:rFonts w:ascii="黑体" w:hAnsi="宋体" w:eastAsia="黑体"/>
          <w:b/>
          <w:color w:val="FF0000"/>
          <w:w w:val="80"/>
          <w:kern w:val="0"/>
          <w:sz w:val="116"/>
          <w:szCs w:val="116"/>
        </w:rPr>
        <w:pict>
          <v:shape id="_x0000_i1025" o:spt="136" type="#_x0000_t136" style="height:49pt;width:386pt;" fillcolor="#FF0000" filled="t" stroked="f" coordsize="21600,21600">
            <v:path/>
            <v:fill on="t" focussize="0,0"/>
            <v:stroke on="f"/>
            <v:imagedata o:title=""/>
            <o:lock v:ext="edit"/>
            <v:textpath on="t" fitshape="t" fitpath="t" trim="t" xscale="f" string="吉林工程职业学院文件" style="font-family:华文中宋;font-size:60pt;font-weight:bold;v-text-align:center;"/>
            <w10:wrap type="none"/>
            <w10:anchorlock/>
          </v:shape>
        </w:pict>
      </w:r>
    </w:p>
    <w:p>
      <w:pPr>
        <w:snapToGrid w:val="0"/>
        <w:jc w:val="both"/>
        <w:rPr>
          <w:rFonts w:ascii="仿宋_GB2312" w:hAnsi="宋体" w:eastAsia="仿宋_GB2312"/>
          <w:sz w:val="32"/>
        </w:rPr>
      </w:pPr>
    </w:p>
    <w:p>
      <w:pPr>
        <w:snapToGrid w:val="0"/>
        <w:jc w:val="center"/>
        <w:rPr>
          <w:rFonts w:ascii="宋体-方正超大字符集" w:hAnsi="新宋体" w:eastAsia="宋体-方正超大字符集"/>
          <w:b/>
          <w:color w:val="FF0000"/>
          <w:w w:val="80"/>
          <w:szCs w:val="21"/>
        </w:rPr>
      </w:pPr>
      <w:r>
        <w:rPr>
          <w:rFonts w:hint="eastAsia" w:ascii="仿宋_GB2312" w:hAnsi="宋体" w:eastAsia="仿宋_GB2312"/>
          <w:sz w:val="32"/>
        </w:rPr>
        <w:t>吉工程职院</w:t>
      </w:r>
      <w:r>
        <w:rPr>
          <w:rFonts w:hint="eastAsia" w:ascii="仿宋" w:hAnsi="仿宋" w:eastAsia="仿宋"/>
          <w:sz w:val="32"/>
        </w:rPr>
        <w:t>〔20</w:t>
      </w:r>
      <w:r>
        <w:rPr>
          <w:rFonts w:ascii="仿宋" w:hAnsi="仿宋" w:eastAsia="仿宋"/>
          <w:sz w:val="32"/>
        </w:rPr>
        <w:t>2</w:t>
      </w:r>
      <w:r>
        <w:rPr>
          <w:rFonts w:hint="eastAsia" w:ascii="仿宋" w:hAnsi="仿宋" w:eastAsia="仿宋"/>
          <w:sz w:val="32"/>
          <w:lang w:val="en-US" w:eastAsia="zh-CN"/>
        </w:rPr>
        <w:t>2</w:t>
      </w:r>
      <w:r>
        <w:rPr>
          <w:rFonts w:hint="eastAsia" w:ascii="仿宋" w:hAnsi="仿宋" w:eastAsia="仿宋"/>
          <w:sz w:val="32"/>
        </w:rPr>
        <w:t>〕</w:t>
      </w:r>
      <w:r>
        <w:rPr>
          <w:rFonts w:ascii="仿宋" w:hAnsi="仿宋" w:eastAsia="仿宋"/>
          <w:sz w:val="32"/>
        </w:rPr>
        <w:t>3</w:t>
      </w:r>
      <w:r>
        <w:rPr>
          <w:rFonts w:hint="eastAsia" w:ascii="仿宋" w:hAnsi="仿宋" w:eastAsia="仿宋"/>
          <w:sz w:val="32"/>
          <w:lang w:val="en-US" w:eastAsia="zh-CN"/>
        </w:rPr>
        <w:t>2</w:t>
      </w:r>
      <w:r>
        <w:rPr>
          <w:rFonts w:hint="eastAsia" w:ascii="仿宋_GB2312" w:hAnsi="宋体" w:eastAsia="仿宋_GB2312"/>
          <w:sz w:val="32"/>
        </w:rPr>
        <w:t xml:space="preserve">号 </w:t>
      </w:r>
      <w:r>
        <w:rPr>
          <w:rFonts w:hint="eastAsia" w:ascii="仿宋_GB2312" w:hAnsi="宋体" w:eastAsia="仿宋_GB2312"/>
          <w:sz w:val="32"/>
          <w:lang w:val="en-US" w:eastAsia="zh-CN"/>
        </w:rPr>
        <w:t xml:space="preserve">    </w:t>
      </w:r>
    </w:p>
    <w:p>
      <w:pPr>
        <w:snapToGrid w:val="0"/>
        <w:jc w:val="center"/>
        <w:rPr>
          <w:b/>
          <w:szCs w:val="21"/>
        </w:rPr>
      </w:pPr>
      <w:r>
        <w:rPr>
          <w:rFonts w:hint="eastAsia" w:ascii="宋体-方正超大字符集" w:hAnsi="新宋体" w:eastAsia="宋体-方正超大字符集"/>
          <w:b/>
          <w:color w:val="FF0000"/>
          <w:sz w:val="36"/>
          <w:szCs w:val="36"/>
        </w:rPr>
        <w:t>——————————————————————</w:t>
      </w:r>
    </w:p>
    <w:p>
      <w:pPr>
        <w:keepNext w:val="0"/>
        <w:keepLines w:val="0"/>
        <w:pageBreakBefore w:val="0"/>
        <w:widowControl w:val="0"/>
        <w:kinsoku/>
        <w:wordWrap/>
        <w:overflowPunct/>
        <w:topLinePunct w:val="0"/>
        <w:autoSpaceDE/>
        <w:autoSpaceDN/>
        <w:bidi w:val="0"/>
        <w:adjustRightInd/>
        <w:snapToGrid/>
        <w:spacing w:before="313" w:beforeLines="100"/>
        <w:jc w:val="center"/>
        <w:textAlignment w:val="auto"/>
        <w:rPr>
          <w:b/>
          <w:bCs/>
          <w:sz w:val="44"/>
          <w:szCs w:val="44"/>
        </w:rPr>
      </w:pPr>
      <w:r>
        <w:rPr>
          <w:rFonts w:hint="eastAsia"/>
          <w:b/>
          <w:bCs/>
          <w:sz w:val="44"/>
          <w:szCs w:val="44"/>
        </w:rPr>
        <w:t>关于印发《</w:t>
      </w:r>
      <w:r>
        <w:rPr>
          <w:rFonts w:hint="eastAsia" w:ascii="宋体" w:hAnsi="宋体" w:eastAsia="宋体" w:cs="宋体"/>
          <w:b/>
          <w:sz w:val="44"/>
          <w:szCs w:val="44"/>
        </w:rPr>
        <w:t>吉林工程职业学院债务管理办法(修订)</w:t>
      </w:r>
      <w:r>
        <w:rPr>
          <w:rFonts w:hint="eastAsia"/>
          <w:b/>
          <w:bCs/>
          <w:sz w:val="44"/>
          <w:szCs w:val="44"/>
        </w:rPr>
        <w:t>》的通知</w:t>
      </w:r>
    </w:p>
    <w:p>
      <w:pPr>
        <w:ind w:left="1929" w:leftChars="753" w:hanging="348" w:hangingChars="109"/>
        <w:jc w:val="left"/>
        <w:rPr>
          <w:rFonts w:ascii="仿宋" w:hAnsi="仿宋" w:eastAsia="仿宋"/>
          <w:sz w:val="32"/>
          <w:szCs w:val="32"/>
        </w:rPr>
      </w:pPr>
    </w:p>
    <w:p>
      <w:pPr>
        <w:spacing w:line="500" w:lineRule="exact"/>
        <w:jc w:val="left"/>
        <w:rPr>
          <w:rFonts w:ascii="仿宋" w:hAnsi="仿宋" w:eastAsia="仿宋"/>
          <w:sz w:val="32"/>
          <w:szCs w:val="32"/>
        </w:rPr>
      </w:pPr>
      <w:r>
        <w:rPr>
          <w:rFonts w:hint="eastAsia" w:ascii="仿宋" w:hAnsi="仿宋" w:eastAsia="仿宋"/>
          <w:sz w:val="32"/>
          <w:szCs w:val="32"/>
        </w:rPr>
        <w:t>各单位、部门：</w:t>
      </w:r>
    </w:p>
    <w:p>
      <w:pPr>
        <w:ind w:firstLine="640" w:firstLineChars="200"/>
        <w:rPr>
          <w:rFonts w:ascii="仿宋_GB2312" w:eastAsia="仿宋_GB2312"/>
          <w:bCs/>
          <w:sz w:val="32"/>
          <w:szCs w:val="32"/>
        </w:rPr>
      </w:pPr>
      <w:r>
        <w:rPr>
          <w:rFonts w:hint="eastAsia" w:ascii="仿宋" w:hAnsi="仿宋" w:eastAsia="仿宋"/>
          <w:sz w:val="32"/>
          <w:szCs w:val="32"/>
        </w:rPr>
        <w:t>《</w:t>
      </w:r>
      <w:r>
        <w:rPr>
          <w:rFonts w:hint="eastAsia" w:ascii="仿宋" w:hAnsi="仿宋" w:eastAsia="仿宋"/>
          <w:bCs/>
          <w:sz w:val="32"/>
          <w:szCs w:val="32"/>
        </w:rPr>
        <w:t>吉林工程职业学院债务管理办法(修订)</w:t>
      </w:r>
      <w:r>
        <w:rPr>
          <w:rFonts w:hint="eastAsia" w:ascii="仿宋" w:hAnsi="仿宋" w:eastAsia="仿宋"/>
          <w:sz w:val="32"/>
          <w:szCs w:val="32"/>
        </w:rPr>
        <w:t>》经学校</w:t>
      </w:r>
      <w:r>
        <w:rPr>
          <w:rFonts w:hint="eastAsia" w:ascii="仿宋" w:hAnsi="仿宋" w:eastAsia="仿宋"/>
          <w:sz w:val="32"/>
          <w:szCs w:val="32"/>
          <w:lang w:eastAsia="zh-CN"/>
        </w:rPr>
        <w:t>研究</w:t>
      </w:r>
      <w:r>
        <w:rPr>
          <w:rFonts w:hint="eastAsia" w:ascii="仿宋" w:hAnsi="仿宋" w:eastAsia="仿宋"/>
          <w:sz w:val="32"/>
          <w:szCs w:val="32"/>
        </w:rPr>
        <w:t>通过，现印发给你们，请认真贯彻执行。</w:t>
      </w:r>
    </w:p>
    <w:p>
      <w:pPr>
        <w:ind w:firstLine="640" w:firstLineChars="200"/>
        <w:rPr>
          <w:rFonts w:ascii="仿宋" w:hAnsi="仿宋" w:eastAsia="仿宋"/>
          <w:sz w:val="32"/>
          <w:szCs w:val="32"/>
        </w:rPr>
      </w:pPr>
      <w:r>
        <w:rPr>
          <w:rFonts w:hint="eastAsia" w:ascii="仿宋" w:hAnsi="仿宋" w:eastAsia="仿宋"/>
          <w:sz w:val="32"/>
          <w:szCs w:val="32"/>
        </w:rPr>
        <w:t>特此通知。</w:t>
      </w:r>
    </w:p>
    <w:p>
      <w:pPr>
        <w:spacing w:line="500" w:lineRule="exact"/>
        <w:ind w:firstLine="640" w:firstLineChars="200"/>
        <w:rPr>
          <w:rFonts w:ascii="仿宋" w:hAnsi="仿宋" w:eastAsia="仿宋"/>
          <w:sz w:val="32"/>
          <w:szCs w:val="32"/>
        </w:rPr>
      </w:pPr>
    </w:p>
    <w:p>
      <w:pPr>
        <w:spacing w:line="500" w:lineRule="exact"/>
        <w:ind w:left="1650" w:leftChars="303" w:hanging="1014" w:hangingChars="317"/>
        <w:jc w:val="left"/>
        <w:rPr>
          <w:rFonts w:ascii="仿宋_GB2312" w:eastAsia="仿宋_GB2312"/>
          <w:bCs/>
          <w:sz w:val="32"/>
          <w:szCs w:val="32"/>
        </w:rPr>
      </w:pPr>
      <w:r>
        <w:rPr>
          <w:rFonts w:hint="eastAsia" w:ascii="仿宋" w:hAnsi="仿宋" w:eastAsia="仿宋"/>
          <w:sz w:val="32"/>
          <w:szCs w:val="32"/>
        </w:rPr>
        <w:t>附件：</w:t>
      </w:r>
      <w:r>
        <w:rPr>
          <w:rFonts w:hint="eastAsia" w:ascii="仿宋_GB2312" w:eastAsia="仿宋_GB2312"/>
          <w:bCs/>
          <w:sz w:val="32"/>
          <w:szCs w:val="32"/>
        </w:rPr>
        <w:t>吉林工程职业学院债务管理办法(修订)</w:t>
      </w:r>
    </w:p>
    <w:p>
      <w:pPr>
        <w:spacing w:line="500" w:lineRule="exact"/>
        <w:ind w:left="1650" w:leftChars="303" w:hanging="1014" w:hangingChars="317"/>
        <w:jc w:val="left"/>
        <w:rPr>
          <w:rFonts w:ascii="仿宋_GB2312" w:eastAsia="仿宋_GB2312"/>
          <w:bCs/>
          <w:sz w:val="32"/>
          <w:szCs w:val="32"/>
        </w:rPr>
      </w:pPr>
    </w:p>
    <w:p>
      <w:pPr>
        <w:spacing w:line="500" w:lineRule="exact"/>
        <w:ind w:left="1650" w:leftChars="303" w:hanging="1014" w:hangingChars="317"/>
        <w:jc w:val="left"/>
        <w:rPr>
          <w:rFonts w:ascii="仿宋_GB2312" w:eastAsia="仿宋_GB2312"/>
          <w:bCs/>
          <w:sz w:val="32"/>
          <w:szCs w:val="32"/>
        </w:rPr>
      </w:pPr>
    </w:p>
    <w:p>
      <w:pPr>
        <w:spacing w:line="500" w:lineRule="exact"/>
        <w:ind w:left="1650" w:leftChars="303" w:hanging="1014" w:hangingChars="317"/>
        <w:jc w:val="left"/>
        <w:rPr>
          <w:rFonts w:ascii="仿宋_GB2312" w:eastAsia="仿宋_GB2312"/>
          <w:bCs/>
          <w:sz w:val="32"/>
          <w:szCs w:val="32"/>
        </w:rPr>
      </w:pPr>
    </w:p>
    <w:p>
      <w:pPr>
        <w:spacing w:line="500" w:lineRule="exact"/>
        <w:ind w:left="2940" w:leftChars="1400"/>
        <w:jc w:val="center"/>
        <w:rPr>
          <w:rFonts w:ascii="仿宋" w:hAnsi="仿宋" w:eastAsia="仿宋"/>
          <w:bCs/>
          <w:sz w:val="32"/>
          <w:szCs w:val="32"/>
        </w:rPr>
      </w:pPr>
      <w:r>
        <w:rPr>
          <w:rFonts w:hint="eastAsia" w:ascii="仿宋" w:hAnsi="仿宋" w:eastAsia="仿宋"/>
          <w:sz w:val="32"/>
          <w:szCs w:val="32"/>
        </w:rPr>
        <w:t>吉林工程职业学院</w:t>
      </w:r>
    </w:p>
    <w:p>
      <w:pPr>
        <w:spacing w:line="500" w:lineRule="exact"/>
        <w:ind w:left="2940" w:leftChars="1400"/>
        <w:jc w:val="center"/>
        <w:rPr>
          <w:rFonts w:ascii="仿宋" w:hAnsi="仿宋" w:eastAsia="仿宋"/>
          <w:sz w:val="32"/>
          <w:szCs w:val="32"/>
        </w:rPr>
      </w:pPr>
      <w:r>
        <w:rPr>
          <w:rFonts w:hint="eastAsia" w:ascii="仿宋" w:hAnsi="仿宋" w:eastAsia="仿宋"/>
          <w:sz w:val="32"/>
          <w:szCs w:val="32"/>
        </w:rPr>
        <w:t>20</w:t>
      </w:r>
      <w:r>
        <w:rPr>
          <w:rFonts w:ascii="仿宋" w:hAnsi="仿宋" w:eastAsia="仿宋"/>
          <w:sz w:val="32"/>
          <w:szCs w:val="32"/>
        </w:rPr>
        <w:t>2</w:t>
      </w:r>
      <w:r>
        <w:rPr>
          <w:rFonts w:hint="eastAsia" w:ascii="仿宋" w:hAnsi="仿宋" w:eastAsia="仿宋"/>
          <w:sz w:val="32"/>
          <w:szCs w:val="32"/>
          <w:lang w:val="en-US" w:eastAsia="zh-CN"/>
        </w:rPr>
        <w:t>2</w:t>
      </w:r>
      <w:r>
        <w:rPr>
          <w:rFonts w:hint="eastAsia" w:ascii="仿宋" w:hAnsi="仿宋" w:eastAsia="仿宋"/>
          <w:sz w:val="32"/>
          <w:szCs w:val="32"/>
        </w:rPr>
        <w:t>年</w:t>
      </w:r>
      <w:r>
        <w:rPr>
          <w:rFonts w:hint="eastAsia" w:ascii="仿宋" w:hAnsi="仿宋" w:eastAsia="仿宋"/>
          <w:sz w:val="32"/>
          <w:szCs w:val="32"/>
          <w:lang w:val="en-US" w:eastAsia="zh-CN"/>
        </w:rPr>
        <w:t>6</w:t>
      </w:r>
      <w:r>
        <w:rPr>
          <w:rFonts w:hint="eastAsia" w:ascii="仿宋" w:hAnsi="仿宋" w:eastAsia="仿宋"/>
          <w:sz w:val="32"/>
          <w:szCs w:val="32"/>
        </w:rPr>
        <w:t>月</w:t>
      </w:r>
      <w:r>
        <w:rPr>
          <w:rFonts w:hint="eastAsia" w:ascii="仿宋" w:hAnsi="仿宋" w:eastAsia="仿宋"/>
          <w:sz w:val="32"/>
          <w:szCs w:val="32"/>
          <w:lang w:val="en-US" w:eastAsia="zh-CN"/>
        </w:rPr>
        <w:t>14</w:t>
      </w:r>
      <w:r>
        <w:rPr>
          <w:rFonts w:hint="eastAsia" w:ascii="仿宋" w:hAnsi="仿宋" w:eastAsia="仿宋"/>
          <w:sz w:val="32"/>
          <w:szCs w:val="32"/>
        </w:rPr>
        <w:t>日</w:t>
      </w:r>
    </w:p>
    <w:p>
      <w:pPr>
        <w:ind w:left="2940" w:leftChars="1400"/>
        <w:jc w:val="center"/>
        <w:rPr>
          <w:rFonts w:ascii="仿宋" w:hAnsi="仿宋" w:eastAsia="仿宋"/>
          <w:sz w:val="32"/>
          <w:szCs w:val="32"/>
        </w:rPr>
      </w:pPr>
    </w:p>
    <w:p>
      <w:pPr>
        <w:ind w:left="2940" w:leftChars="1400"/>
        <w:jc w:val="center"/>
        <w:rPr>
          <w:rFonts w:ascii="仿宋" w:hAnsi="仿宋" w:eastAsia="仿宋"/>
          <w:sz w:val="32"/>
          <w:szCs w:val="32"/>
        </w:rPr>
      </w:pPr>
    </w:p>
    <w:p>
      <w:pPr>
        <w:ind w:left="2940" w:leftChars="1400"/>
        <w:jc w:val="center"/>
        <w:rPr>
          <w:rFonts w:ascii="仿宋" w:hAnsi="仿宋" w:eastAsia="仿宋"/>
          <w:sz w:val="32"/>
          <w:szCs w:val="32"/>
        </w:rPr>
      </w:pPr>
    </w:p>
    <w:tbl>
      <w:tblPr>
        <w:tblStyle w:val="7"/>
        <w:tblpPr w:leftFromText="180" w:rightFromText="180" w:vertAnchor="text" w:horzAnchor="page" w:tblpX="1783" w:tblpY="2"/>
        <w:tblW w:w="0" w:type="auto"/>
        <w:tblInd w:w="0" w:type="dxa"/>
        <w:tblBorders>
          <w:top w:val="single" w:color="auto" w:sz="4"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8425"/>
      </w:tblGrid>
      <w:tr>
        <w:tblPrEx>
          <w:tblBorders>
            <w:top w:val="single" w:color="auto" w:sz="4"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 w:hRule="atLeast"/>
        </w:trPr>
        <w:tc>
          <w:tcPr>
            <w:tcW w:w="8425" w:type="dxa"/>
            <w:tcBorders>
              <w:top w:val="single" w:color="auto" w:sz="4" w:space="0"/>
              <w:bottom w:val="single" w:color="auto" w:sz="4" w:space="0"/>
            </w:tcBorders>
          </w:tcPr>
          <w:p>
            <w:pPr>
              <w:spacing w:line="480" w:lineRule="atLeast"/>
              <w:ind w:firstLine="160" w:firstLineChars="50"/>
              <w:rPr>
                <w:rFonts w:ascii="仿宋" w:hAnsi="仿宋" w:eastAsia="仿宋"/>
                <w:sz w:val="32"/>
                <w:szCs w:val="32"/>
              </w:rPr>
            </w:pPr>
            <w:r>
              <w:rPr>
                <w:rFonts w:hint="eastAsia" w:ascii="仿宋" w:hAnsi="仿宋" w:eastAsia="仿宋"/>
                <w:sz w:val="32"/>
                <w:szCs w:val="32"/>
              </w:rPr>
              <w:t>吉林</w:t>
            </w:r>
            <w:r>
              <w:rPr>
                <w:rFonts w:hint="eastAsia" w:ascii="仿宋" w:hAnsi="仿宋" w:eastAsia="仿宋"/>
                <w:w w:val="97"/>
                <w:sz w:val="32"/>
                <w:szCs w:val="32"/>
              </w:rPr>
              <w:t>工程职业学院党政办公室</w:t>
            </w:r>
            <w:r>
              <w:rPr>
                <w:rFonts w:hint="eastAsia" w:ascii="仿宋" w:hAnsi="仿宋" w:eastAsia="仿宋"/>
                <w:w w:val="97"/>
                <w:sz w:val="32"/>
              </w:rPr>
              <w:t xml:space="preserve">      20</w:t>
            </w:r>
            <w:r>
              <w:rPr>
                <w:rFonts w:ascii="仿宋" w:hAnsi="仿宋" w:eastAsia="仿宋"/>
                <w:w w:val="97"/>
                <w:sz w:val="32"/>
              </w:rPr>
              <w:t>2</w:t>
            </w:r>
            <w:r>
              <w:rPr>
                <w:rFonts w:hint="eastAsia" w:ascii="仿宋" w:hAnsi="仿宋" w:eastAsia="仿宋"/>
                <w:w w:val="97"/>
                <w:sz w:val="32"/>
                <w:lang w:val="en-US" w:eastAsia="zh-CN"/>
              </w:rPr>
              <w:t>2</w:t>
            </w:r>
            <w:r>
              <w:rPr>
                <w:rFonts w:hint="eastAsia" w:ascii="仿宋" w:hAnsi="仿宋" w:eastAsia="仿宋"/>
                <w:w w:val="97"/>
                <w:sz w:val="32"/>
              </w:rPr>
              <w:t>年</w:t>
            </w:r>
            <w:r>
              <w:rPr>
                <w:rFonts w:hint="eastAsia" w:ascii="仿宋" w:hAnsi="仿宋" w:eastAsia="仿宋"/>
                <w:w w:val="97"/>
                <w:sz w:val="32"/>
                <w:lang w:val="en-US" w:eastAsia="zh-CN"/>
              </w:rPr>
              <w:t>6</w:t>
            </w:r>
            <w:r>
              <w:rPr>
                <w:rFonts w:hint="eastAsia" w:ascii="仿宋" w:hAnsi="仿宋" w:eastAsia="仿宋"/>
                <w:w w:val="97"/>
                <w:sz w:val="32"/>
              </w:rPr>
              <w:t>月</w:t>
            </w:r>
            <w:r>
              <w:rPr>
                <w:rFonts w:hint="eastAsia" w:ascii="仿宋" w:hAnsi="仿宋" w:eastAsia="仿宋"/>
                <w:w w:val="97"/>
                <w:sz w:val="32"/>
                <w:lang w:val="en-US" w:eastAsia="zh-CN"/>
              </w:rPr>
              <w:t>14</w:t>
            </w:r>
            <w:r>
              <w:rPr>
                <w:rFonts w:hint="eastAsia" w:ascii="仿宋" w:hAnsi="仿宋" w:eastAsia="仿宋"/>
                <w:w w:val="97"/>
                <w:sz w:val="32"/>
              </w:rPr>
              <w:t>日印发</w:t>
            </w:r>
          </w:p>
        </w:tc>
      </w:tr>
    </w:tbl>
    <w:p>
      <w:pPr>
        <w:keepNext w:val="0"/>
        <w:keepLines w:val="0"/>
        <w:pageBreakBefore w:val="0"/>
        <w:widowControl w:val="0"/>
        <w:kinsoku/>
        <w:wordWrap/>
        <w:overflowPunct/>
        <w:topLinePunct w:val="0"/>
        <w:autoSpaceDE/>
        <w:autoSpaceDN/>
        <w:bidi w:val="0"/>
        <w:adjustRightInd/>
        <w:snapToGrid/>
        <w:spacing w:line="560" w:lineRule="exact"/>
        <w:jc w:val="left"/>
        <w:textAlignment w:val="auto"/>
        <w:rPr>
          <w:rFonts w:ascii="黑体" w:hAnsi="黑体" w:eastAsia="黑体"/>
          <w:sz w:val="32"/>
          <w:szCs w:val="32"/>
        </w:rPr>
      </w:pPr>
      <w:bookmarkStart w:id="0" w:name="_GoBack"/>
      <w:bookmarkEnd w:id="0"/>
      <w:r>
        <w:rPr>
          <w:rFonts w:hint="eastAsia" w:ascii="黑体" w:hAnsi="黑体" w:eastAsia="黑体"/>
          <w:sz w:val="32"/>
          <w:szCs w:val="32"/>
        </w:rPr>
        <w:t>附件</w:t>
      </w:r>
    </w:p>
    <w:p>
      <w:pPr>
        <w:keepNext w:val="0"/>
        <w:keepLines w:val="0"/>
        <w:pageBreakBefore w:val="0"/>
        <w:widowControl w:val="0"/>
        <w:kinsoku/>
        <w:wordWrap/>
        <w:overflowPunct/>
        <w:topLinePunct w:val="0"/>
        <w:autoSpaceDE/>
        <w:autoSpaceDN/>
        <w:bidi w:val="0"/>
        <w:adjustRightInd/>
        <w:snapToGrid/>
        <w:spacing w:before="313" w:beforeLines="100" w:line="560" w:lineRule="exact"/>
        <w:jc w:val="center"/>
        <w:textAlignment w:val="auto"/>
        <w:rPr>
          <w:rFonts w:hint="eastAsia" w:eastAsia="宋体"/>
          <w:sz w:val="28"/>
          <w:lang w:eastAsia="zh-CN"/>
        </w:rPr>
      </w:pPr>
      <w:r>
        <w:rPr>
          <w:rFonts w:hint="eastAsia" w:ascii="宋体" w:hAnsi="宋体" w:eastAsia="宋体" w:cs="宋体"/>
          <w:b/>
          <w:sz w:val="44"/>
          <w:szCs w:val="44"/>
        </w:rPr>
        <w:t>吉林工程职业学院债务管理办法(修订)</w:t>
      </w:r>
    </w:p>
    <w:p>
      <w:pPr>
        <w:keepNext w:val="0"/>
        <w:keepLines w:val="0"/>
        <w:pageBreakBefore w:val="0"/>
        <w:widowControl w:val="0"/>
        <w:kinsoku/>
        <w:wordWrap/>
        <w:overflowPunct/>
        <w:topLinePunct w:val="0"/>
        <w:autoSpaceDE/>
        <w:autoSpaceDN/>
        <w:bidi w:val="0"/>
        <w:adjustRightInd/>
        <w:snapToGrid/>
        <w:spacing w:before="313" w:beforeLines="100"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第一章 总则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第一条 为进一步加强学校债务监督管理，规范债务举借、使用和偿还行为，防范债务风险，提高资金使用效益，根据《国务院关于加强地方政府性债务管理的意见》（国发〔2014〕43号）</w:t>
      </w:r>
      <w:r>
        <w:rPr>
          <w:rFonts w:hint="eastAsia" w:ascii="仿宋" w:hAnsi="仿宋" w:eastAsia="仿宋" w:cs="仿宋"/>
          <w:sz w:val="32"/>
          <w:szCs w:val="32"/>
          <w:lang w:eastAsia="zh-CN"/>
        </w:rPr>
        <w:t>、</w:t>
      </w:r>
      <w:r>
        <w:rPr>
          <w:rFonts w:hint="eastAsia" w:ascii="仿宋" w:hAnsi="仿宋" w:eastAsia="仿宋" w:cs="仿宋"/>
          <w:sz w:val="32"/>
          <w:szCs w:val="32"/>
        </w:rPr>
        <w:t>财政部《政府会计制度》（财会〔2017〕25号）等法律法规和规章制度，结合我校实际，制定本办法。</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32"/>
          <w:szCs w:val="32"/>
        </w:rPr>
      </w:pPr>
      <w:r>
        <w:rPr>
          <w:rFonts w:hint="eastAsia" w:ascii="仿宋" w:hAnsi="仿宋" w:eastAsia="仿宋" w:cs="仿宋"/>
          <w:sz w:val="32"/>
          <w:szCs w:val="32"/>
        </w:rPr>
        <w:t>第二条 学校的债务是指学校所承担的能以货币计量、需要以资产或劳务偿还的借入款项、应缴款项、代管款项、各类应付及预收款项等。</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第二章 管理职责</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 w:hAnsi="仿宋" w:eastAsia="仿宋" w:cs="仿宋"/>
          <w:sz w:val="32"/>
          <w:szCs w:val="32"/>
        </w:rPr>
      </w:pPr>
      <w:r>
        <w:rPr>
          <w:rFonts w:hint="eastAsia" w:ascii="仿宋" w:hAnsi="仿宋" w:eastAsia="仿宋" w:cs="仿宋"/>
          <w:sz w:val="32"/>
          <w:szCs w:val="32"/>
        </w:rPr>
        <w:t xml:space="preserve">    第三条 计划财务处是学校债务核算与管理的职能部门，负责对债务进行审核、核算，并加强对债务的管理。</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32"/>
          <w:szCs w:val="32"/>
        </w:rPr>
      </w:pPr>
      <w:r>
        <w:rPr>
          <w:rFonts w:hint="eastAsia" w:ascii="仿宋" w:hAnsi="仿宋" w:eastAsia="仿宋" w:cs="仿宋"/>
          <w:sz w:val="32"/>
          <w:szCs w:val="32"/>
        </w:rPr>
        <w:t>第四条 债务经办部门对债务的清理负有直接责任，对已发生的债务，要落实责任人员，定期进行清理。</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第三章 债务管理</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32"/>
          <w:szCs w:val="32"/>
        </w:rPr>
      </w:pPr>
      <w:r>
        <w:rPr>
          <w:rFonts w:hint="eastAsia" w:ascii="仿宋" w:hAnsi="仿宋" w:eastAsia="仿宋" w:cs="仿宋"/>
          <w:sz w:val="32"/>
          <w:szCs w:val="32"/>
        </w:rPr>
        <w:t>第五条 举借债务应当遵循适度从紧、量力而行、注重效益、明确责任、防范风险的原则。学校债务的规模应当统筹考虑学校发展的需要，与我校财务状况和承受能力相适应。</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32"/>
          <w:szCs w:val="32"/>
        </w:rPr>
      </w:pPr>
      <w:r>
        <w:rPr>
          <w:rFonts w:hint="eastAsia" w:ascii="仿宋" w:hAnsi="仿宋" w:eastAsia="仿宋" w:cs="仿宋"/>
          <w:sz w:val="32"/>
          <w:szCs w:val="32"/>
        </w:rPr>
        <w:t>第六条 借入款项，是指学校向金融机构等借入的各项债务。举借债务须经学校党委会研究决定，并报上级部门批准后方能执行。同时应根据学校财力、未来预算收入和贷款合同，制定学校的还本付息计划，保证学校的资金正常运转，并定期对计划执行情况进行分析。</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32"/>
          <w:szCs w:val="32"/>
        </w:rPr>
      </w:pPr>
      <w:r>
        <w:rPr>
          <w:rFonts w:hint="eastAsia" w:ascii="仿宋" w:hAnsi="仿宋" w:eastAsia="仿宋" w:cs="仿宋"/>
          <w:sz w:val="32"/>
          <w:szCs w:val="32"/>
        </w:rPr>
        <w:t>第七条 应缴款项，包括学校收取的应当上缴财政纳入预算的资金、代扣代缴税金及其他按照国家规定应当上缴的款项。学校应积极组织收入，及时足额办理上缴手续。</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32"/>
          <w:szCs w:val="32"/>
        </w:rPr>
      </w:pPr>
      <w:r>
        <w:rPr>
          <w:rFonts w:hint="eastAsia" w:ascii="仿宋" w:hAnsi="仿宋" w:eastAsia="仿宋" w:cs="仿宋"/>
          <w:sz w:val="32"/>
          <w:szCs w:val="32"/>
        </w:rPr>
        <w:t>第八条 代管款项，是指学校接受委托代为管理的各类款项。包括：党费、团费、学会（协会）会费等。</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32"/>
          <w:szCs w:val="32"/>
        </w:rPr>
      </w:pPr>
      <w:r>
        <w:rPr>
          <w:rFonts w:hint="eastAsia" w:ascii="仿宋" w:hAnsi="仿宋" w:eastAsia="仿宋" w:cs="仿宋"/>
          <w:sz w:val="32"/>
          <w:szCs w:val="32"/>
        </w:rPr>
        <w:t>代管款项严格实行以收定支，不透支使用。代管款项年终结余款结转第二年继续使用。</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32"/>
          <w:szCs w:val="32"/>
        </w:rPr>
      </w:pPr>
      <w:r>
        <w:rPr>
          <w:rFonts w:hint="eastAsia" w:ascii="仿宋" w:hAnsi="仿宋" w:eastAsia="仿宋" w:cs="仿宋"/>
          <w:sz w:val="32"/>
          <w:szCs w:val="32"/>
        </w:rPr>
        <w:t>第九条 各类应付及预收款项，包括应付职工薪酬、应付票据、应付账款、预收账款和其他应付款、暂存款等款项。</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32"/>
          <w:szCs w:val="32"/>
        </w:rPr>
      </w:pPr>
      <w:r>
        <w:rPr>
          <w:rFonts w:hint="eastAsia" w:ascii="仿宋" w:hAnsi="仿宋" w:eastAsia="仿宋" w:cs="仿宋"/>
          <w:sz w:val="32"/>
          <w:szCs w:val="32"/>
        </w:rPr>
        <w:t>学校每年对各类应付及预收款项进行清理，按照规定应当转作收入的应及时转入有关账户，纳入当年决算。</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32"/>
          <w:szCs w:val="32"/>
        </w:rPr>
      </w:pPr>
      <w:r>
        <w:rPr>
          <w:rFonts w:hint="eastAsia" w:ascii="仿宋" w:hAnsi="仿宋" w:eastAsia="仿宋" w:cs="仿宋"/>
          <w:sz w:val="32"/>
          <w:szCs w:val="32"/>
        </w:rPr>
        <w:t>第十条 学校不得采取任何方式向教职工集资、借款、委托贷款，以及与非金融机构发生借贷业务。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第十一条 严禁开展售后回租业务，禁止学校开展各种形式的售后回租业务，避免国有资产流失。确需开展融资性租赁的要经校党委会研究决定，并报主管部门和财政部门审批。</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第十二条 严格控制新增贷款，学校谨慎采用银行贷款方式筹集教育经费，学校要切实根据发展需要和自身经济实力，分清轻重缓急，合理确定建设项目和安排建设进度，且要经校党委会研究决定。</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第十三条 校园土地、校舍等如已满足办学要求，不得新增债务用于新征土地和新上建设项目。办学条件如有待提高，学校新上项目确需要银行贷款的，要对建设规模、筹资渠道和偿债来源等作充分论证，落实明确、稳定的偿债来源，并报省教育厅</w:t>
      </w:r>
      <w:r>
        <w:rPr>
          <w:rFonts w:hint="eastAsia" w:ascii="仿宋" w:hAnsi="仿宋" w:eastAsia="仿宋" w:cs="仿宋"/>
          <w:sz w:val="32"/>
          <w:szCs w:val="32"/>
          <w:lang w:eastAsia="zh-CN"/>
        </w:rPr>
        <w:t>、省财政厅</w:t>
      </w:r>
      <w:r>
        <w:rPr>
          <w:rFonts w:hint="eastAsia" w:ascii="仿宋" w:hAnsi="仿宋" w:eastAsia="仿宋" w:cs="仿宋"/>
          <w:sz w:val="32"/>
          <w:szCs w:val="32"/>
        </w:rPr>
        <w:t>审批同意后，方可与合作银行签订贷款合同。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第十四条 学校举借资金应用于学校事业发展有重大影响的基建项目，不得因对外投资、平衡预算、抵补日常经费开支不足以及提高或变相提高人员待遇而借债。高校不得为任何单位（含校办产业）或个人的经济活动提供担保。</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第四章 债务的预警和监督管理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第十五条 建立债务风险监测和预警指标体系。根据省财政厅《2014年地方政府性债务风险预警测算说明》文件，我校采用一般债务率指标衡量我校债务风险，该指标为吉林省政府性债务重要指标，目前我省设定风险预警线区间为60%-120%，我校债务可参考此指标。具体计算公示如下：</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 w:hAnsi="仿宋" w:eastAsia="仿宋" w:cs="仿宋"/>
          <w:sz w:val="32"/>
          <w:szCs w:val="32"/>
        </w:rPr>
      </w:pPr>
      <m:oMathPara>
        <m:oMath>
          <m:r>
            <m:rPr>
              <m:sty m:val="p"/>
            </m:rPr>
            <w:rPr>
              <w:rFonts w:ascii="Cambria Math" w:hAnsi="Cambria Math" w:cs="Cambria Math"/>
              <w:sz w:val="20"/>
            </w:rPr>
            <m:t>一般债务率预警线</m:t>
          </m:r>
          <m:r>
            <m:rPr>
              <m:sty m:val="p"/>
            </m:rPr>
            <w:rPr>
              <w:rFonts w:ascii="Cambria Math" w:hAnsi="Cambria Math" w:eastAsia="Cambria Math" w:cs="Cambria Math"/>
              <w:sz w:val="20"/>
            </w:rPr>
            <m:t>=</m:t>
          </m:r>
          <m:f>
            <m:fPr>
              <m:ctrlPr>
                <w:rPr>
                  <w:rFonts w:ascii="Cambria Math" w:hAnsi="Cambria Math" w:eastAsia="Cambria Math"/>
                  <w:sz w:val="20"/>
                </w:rPr>
              </m:ctrlPr>
            </m:fPr>
            <m:num>
              <m:r>
                <m:rPr>
                  <m:sty m:val="p"/>
                </m:rPr>
                <w:rPr>
                  <w:rFonts w:ascii="Cambria Math" w:hAnsi="Cambria Math"/>
                  <w:sz w:val="20"/>
                </w:rPr>
                <m:t>可用于偿还一般债务的预算财力</m:t>
              </m:r>
            </m:num>
            <m:den>
              <m:r>
                <m:rPr>
                  <m:sty m:val="p"/>
                </m:rPr>
                <w:rPr>
                  <w:rFonts w:ascii="Cambria Math" w:hAnsi="Cambria Math" w:cs="Cambria Math"/>
                  <w:sz w:val="20"/>
                </w:rPr>
                <m:t>预算财力</m:t>
              </m:r>
            </m:den>
          </m:f>
          <m:r>
            <w:rPr>
              <w:rFonts w:ascii="Cambria Math" w:hAnsi="Cambria Math" w:eastAsia="Cambria Math"/>
              <w:sz w:val="20"/>
            </w:rPr>
            <m:t>×</m:t>
          </m:r>
          <m:r>
            <m:rPr>
              <m:sty m:val="p"/>
            </m:rPr>
            <w:rPr>
              <w:rFonts w:ascii="Cambria Math" w:hAnsi="Cambria Math"/>
              <w:sz w:val="20"/>
            </w:rPr>
            <m:t>平均债务期限</m:t>
          </m:r>
        </m:oMath>
      </m:oMathPara>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其中“可用于偿还债务的预算财力”等于我校预算财力扣除不能偿债的刚性支出（包括中央政策要求的保工资、保运转和保民生等支出，地方性出台民生政策等刚性支出），以及主要是一次性收入的非税收入后剩余的部分；“预算财力”等于我校收取的学费、住宿费等财政性收入；“平均债务期限”为我校当年年底债务数据加权平均核算。</w:t>
      </w:r>
    </w:p>
    <w:p>
      <w:pPr>
        <w:keepNext w:val="0"/>
        <w:keepLines w:val="0"/>
        <w:pageBreakBefore w:val="0"/>
        <w:widowControl w:val="0"/>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32"/>
          <w:szCs w:val="32"/>
        </w:rPr>
      </w:pPr>
      <w:r>
        <w:rPr>
          <w:rFonts w:hint="eastAsia" w:ascii="仿宋" w:hAnsi="仿宋" w:eastAsia="仿宋" w:cs="仿宋"/>
          <w:sz w:val="32"/>
          <w:szCs w:val="32"/>
        </w:rPr>
        <w:t>债务率预警线低于100%，原则上不再新增贷款和自筹基本建设项目。以偿债优先，待债务有所缓解再行举借债务。</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56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根据省教育厅对高校债务管理的指导意见，同时将以下两项指标作为债务风险监测预警提醒纳入测算指标体系：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1.贷款风险率：学校现有贷款规模/最近连续两个年度学校事业收入之和。当贷款风险率≧1时，原则上不能新增贷款额度。</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2.资产负债率：上一年度学校贷款规模/上一年度学校资产规模。当资产负债率≧0.25时，原则上不能新增贷款额度。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pacing w:val="6"/>
          <w:sz w:val="32"/>
          <w:szCs w:val="32"/>
        </w:rPr>
      </w:pPr>
      <w:r>
        <w:rPr>
          <w:rFonts w:hint="eastAsia" w:ascii="仿宋" w:hAnsi="仿宋" w:eastAsia="仿宋" w:cs="仿宋"/>
          <w:sz w:val="32"/>
          <w:szCs w:val="32"/>
        </w:rPr>
        <w:t>第十</w:t>
      </w:r>
      <w:r>
        <w:rPr>
          <w:rFonts w:hint="eastAsia" w:ascii="仿宋" w:hAnsi="仿宋" w:eastAsia="仿宋" w:cs="仿宋"/>
          <w:sz w:val="32"/>
          <w:szCs w:val="32"/>
          <w:lang w:eastAsia="zh-CN"/>
        </w:rPr>
        <w:t>七</w:t>
      </w:r>
      <w:r>
        <w:rPr>
          <w:rFonts w:hint="eastAsia" w:ascii="仿宋" w:hAnsi="仿宋" w:eastAsia="仿宋" w:cs="仿宋"/>
          <w:sz w:val="32"/>
          <w:szCs w:val="32"/>
        </w:rPr>
        <w:t xml:space="preserve">条 </w:t>
      </w:r>
      <w:r>
        <w:rPr>
          <w:rFonts w:hint="eastAsia" w:ascii="仿宋" w:hAnsi="仿宋" w:eastAsia="仿宋" w:cs="仿宋"/>
          <w:spacing w:val="9"/>
          <w:sz w:val="32"/>
          <w:szCs w:val="32"/>
        </w:rPr>
        <w:t>加强债务清偿管理。</w:t>
      </w:r>
      <w:r>
        <w:rPr>
          <w:rFonts w:hint="eastAsia" w:ascii="仿宋" w:hAnsi="仿宋" w:eastAsia="仿宋" w:cs="仿宋"/>
          <w:spacing w:val="10"/>
          <w:sz w:val="32"/>
          <w:szCs w:val="32"/>
        </w:rPr>
        <w:t>切实加大债务清偿力度，</w:t>
      </w:r>
      <w:r>
        <w:rPr>
          <w:rFonts w:hint="eastAsia" w:ascii="仿宋" w:hAnsi="仿宋" w:eastAsia="仿宋" w:cs="仿宋"/>
          <w:spacing w:val="6"/>
          <w:sz w:val="32"/>
          <w:szCs w:val="32"/>
        </w:rPr>
        <w:t>努力增收节支，按授信额度、贷款金额和贷款期限，逐年按计划还本付息，每年按计划在校生数学费和住宿费收入的一定比例提取资金用于还本付息，确保在贷款期限结束时消除债务。</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w:t>
      </w:r>
      <w:r>
        <w:rPr>
          <w:rFonts w:hint="eastAsia" w:ascii="仿宋" w:hAnsi="仿宋" w:eastAsia="仿宋" w:cs="仿宋"/>
          <w:sz w:val="32"/>
          <w:szCs w:val="32"/>
          <w:lang w:eastAsia="zh-CN"/>
        </w:rPr>
        <w:t>八</w:t>
      </w:r>
      <w:r>
        <w:rPr>
          <w:rFonts w:hint="eastAsia" w:ascii="仿宋" w:hAnsi="仿宋" w:eastAsia="仿宋" w:cs="仿宋"/>
          <w:sz w:val="32"/>
          <w:szCs w:val="32"/>
        </w:rPr>
        <w:t>条 加强财务监督管理。充分发挥审计、监察等部门的监督作用，会同财务部门全面掌握负债建设项目贷款及配套资金的使用情况，对建设项目实行过程控制，严防项目举债突破计划规模。</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sz w:val="32"/>
          <w:szCs w:val="32"/>
        </w:rPr>
      </w:pPr>
      <w:r>
        <w:rPr>
          <w:rFonts w:hint="eastAsia" w:ascii="黑体" w:hAnsi="黑体" w:eastAsia="黑体" w:cs="黑体"/>
          <w:sz w:val="32"/>
          <w:szCs w:val="32"/>
        </w:rPr>
        <w:t>第五章 附则</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第十</w:t>
      </w:r>
      <w:r>
        <w:rPr>
          <w:rFonts w:hint="eastAsia" w:ascii="仿宋" w:hAnsi="仿宋" w:eastAsia="仿宋" w:cs="仿宋"/>
          <w:sz w:val="32"/>
          <w:szCs w:val="32"/>
          <w:lang w:eastAsia="zh-CN"/>
        </w:rPr>
        <w:t>九</w:t>
      </w:r>
      <w:r>
        <w:rPr>
          <w:rFonts w:hint="eastAsia" w:ascii="仿宋" w:hAnsi="仿宋" w:eastAsia="仿宋" w:cs="仿宋"/>
          <w:sz w:val="32"/>
          <w:szCs w:val="32"/>
        </w:rPr>
        <w:t>条 本办法自发布之日起施行。</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第</w:t>
      </w:r>
      <w:r>
        <w:rPr>
          <w:rFonts w:hint="eastAsia" w:ascii="仿宋" w:hAnsi="仿宋" w:eastAsia="仿宋" w:cs="仿宋"/>
          <w:sz w:val="32"/>
          <w:szCs w:val="32"/>
          <w:lang w:eastAsia="zh-CN"/>
        </w:rPr>
        <w:t>二十</w:t>
      </w:r>
      <w:r>
        <w:rPr>
          <w:rFonts w:hint="eastAsia" w:ascii="仿宋" w:hAnsi="仿宋" w:eastAsia="仿宋" w:cs="仿宋"/>
          <w:sz w:val="32"/>
          <w:szCs w:val="32"/>
        </w:rPr>
        <w:t>条 本办法由计划财务处负责解释，未尽事宜按上级相关文件执行。</w:t>
      </w:r>
    </w:p>
    <w:p>
      <w:pPr>
        <w:keepNext w:val="0"/>
        <w:keepLines w:val="0"/>
        <w:pageBreakBefore w:val="0"/>
        <w:widowControl w:val="0"/>
        <w:kinsoku/>
        <w:wordWrap/>
        <w:overflowPunct w:val="0"/>
        <w:topLinePunct w:val="0"/>
        <w:autoSpaceDE/>
        <w:autoSpaceDN/>
        <w:bidi w:val="0"/>
        <w:adjustRightInd/>
        <w:snapToGrid/>
        <w:spacing w:line="560" w:lineRule="exact"/>
        <w:jc w:val="left"/>
        <w:textAlignment w:val="auto"/>
        <w:rPr>
          <w:rFonts w:ascii="黑体" w:hAnsi="黑体" w:eastAsia="黑体"/>
          <w:sz w:val="32"/>
          <w:szCs w:val="32"/>
        </w:rPr>
      </w:pPr>
    </w:p>
    <w:p>
      <w:pPr>
        <w:pStyle w:val="16"/>
        <w:keepNext w:val="0"/>
        <w:keepLines w:val="0"/>
        <w:pageBreakBefore w:val="0"/>
        <w:widowControl w:val="0"/>
        <w:tabs>
          <w:tab w:val="left" w:pos="2552"/>
        </w:tabs>
        <w:kinsoku/>
        <w:wordWrap/>
        <w:overflowPunct w:val="0"/>
        <w:topLinePunct w:val="0"/>
        <w:autoSpaceDE/>
        <w:autoSpaceDN/>
        <w:bidi w:val="0"/>
        <w:adjustRightInd/>
        <w:snapToGrid/>
        <w:spacing w:after="280" w:line="560" w:lineRule="exact"/>
        <w:ind w:left="0" w:leftChars="0" w:firstLine="0" w:firstLineChars="0"/>
        <w:jc w:val="both"/>
        <w:textAlignment w:val="auto"/>
        <w:rPr>
          <w:rFonts w:ascii="黑体" w:hAnsi="黑体" w:eastAsia="黑体"/>
          <w:sz w:val="32"/>
          <w:szCs w:val="32"/>
        </w:rPr>
      </w:pPr>
    </w:p>
    <w:sectPr>
      <w:footerReference r:id="rId3" w:type="default"/>
      <w:pgSz w:w="11906" w:h="16838"/>
      <w:pgMar w:top="1440" w:right="1800" w:bottom="1440" w:left="1800" w:header="851" w:footer="992" w:gutter="0"/>
      <w:pgNumType w:fmt="numberInDash"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宋体-方正超大字符集">
    <w:altName w:val="黑体"/>
    <w:panose1 w:val="00000000000000000000"/>
    <w:charset w:val="86"/>
    <w:family w:val="script"/>
    <w:pitch w:val="default"/>
    <w:sig w:usb0="00000000" w:usb1="00000000" w:usb2="00000010" w:usb3="00000000" w:csb0="00040000" w:csb1="00000000"/>
  </w:font>
  <w:font w:name="新宋体">
    <w:panose1 w:val="02010609030101010101"/>
    <w:charset w:val="86"/>
    <w:family w:val="modern"/>
    <w:pitch w:val="default"/>
    <w:sig w:usb0="00000003" w:usb1="288F0000" w:usb2="00000006" w:usb3="00000000" w:csb0="00040001"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Cambria Math">
    <w:panose1 w:val="02040503050406030204"/>
    <w:charset w:val="00"/>
    <w:family w:val="auto"/>
    <w:pitch w:val="default"/>
    <w:sig w:usb0="E00002FF" w:usb1="420024FF"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45251009"/>
      <w:docPartObj>
        <w:docPartGallery w:val="autotext"/>
      </w:docPartObj>
    </w:sdtPr>
    <w:sdtEndPr>
      <w:rPr>
        <w:sz w:val="28"/>
        <w:szCs w:val="28"/>
      </w:rPr>
    </w:sdtEndPr>
    <w:sdtContent>
      <w:p>
        <w:pPr>
          <w:pStyle w:val="4"/>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w:t>
        </w:r>
        <w:r>
          <w:rPr>
            <w:sz w:val="28"/>
            <w:szCs w:val="28"/>
          </w:rPr>
          <w:t xml:space="preserve"> 7 -</w:t>
        </w:r>
        <w:r>
          <w:rPr>
            <w:sz w:val="28"/>
            <w:szCs w:val="28"/>
          </w:rPr>
          <w:fldChar w:fldCharType="end"/>
        </w:r>
      </w:p>
    </w:sdtContent>
  </w:sdt>
  <w:p>
    <w:pPr>
      <w:pStyle w:val="4"/>
      <w:rPr>
        <w:sz w:val="28"/>
        <w:szCs w:val="28"/>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D3C71CA"/>
    <w:multiLevelType w:val="singleLevel"/>
    <w:tmpl w:val="BD3C71CA"/>
    <w:lvl w:ilvl="0" w:tentative="0">
      <w:start w:val="16"/>
      <w:numFmt w:val="chineseCounting"/>
      <w:suff w:val="space"/>
      <w:lvlText w:val="第%1条"/>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E062D"/>
    <w:rsid w:val="00075F25"/>
    <w:rsid w:val="00324E30"/>
    <w:rsid w:val="003A25E7"/>
    <w:rsid w:val="004C3A08"/>
    <w:rsid w:val="004F38C9"/>
    <w:rsid w:val="005300D3"/>
    <w:rsid w:val="006623EC"/>
    <w:rsid w:val="00676522"/>
    <w:rsid w:val="006E062D"/>
    <w:rsid w:val="006F3239"/>
    <w:rsid w:val="006F4A76"/>
    <w:rsid w:val="0071219C"/>
    <w:rsid w:val="00766BEB"/>
    <w:rsid w:val="007A4AD6"/>
    <w:rsid w:val="007C6281"/>
    <w:rsid w:val="00832344"/>
    <w:rsid w:val="00902D3A"/>
    <w:rsid w:val="00972011"/>
    <w:rsid w:val="00993F71"/>
    <w:rsid w:val="009F4FA0"/>
    <w:rsid w:val="00A032BC"/>
    <w:rsid w:val="00A36D61"/>
    <w:rsid w:val="00A443EB"/>
    <w:rsid w:val="00B252DE"/>
    <w:rsid w:val="00B64DEE"/>
    <w:rsid w:val="00BF2FB4"/>
    <w:rsid w:val="00C243E1"/>
    <w:rsid w:val="00C87B06"/>
    <w:rsid w:val="00CE7120"/>
    <w:rsid w:val="00D01B19"/>
    <w:rsid w:val="00DF062E"/>
    <w:rsid w:val="00E843B2"/>
    <w:rsid w:val="00EB4C72"/>
    <w:rsid w:val="00F06447"/>
    <w:rsid w:val="00FD5CFB"/>
    <w:rsid w:val="34504B9D"/>
    <w:rsid w:val="5C290D31"/>
    <w:rsid w:val="65B772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1"/>
    <w:semiHidden/>
    <w:unhideWhenUsed/>
    <w:uiPriority w:val="99"/>
    <w:pPr>
      <w:ind w:left="100" w:leftChars="2500"/>
    </w:pPr>
  </w:style>
  <w:style w:type="paragraph" w:styleId="3">
    <w:name w:val="Balloon Text"/>
    <w:basedOn w:val="1"/>
    <w:link w:val="12"/>
    <w:semiHidden/>
    <w:unhideWhenUsed/>
    <w:qFormat/>
    <w:uiPriority w:val="99"/>
    <w:rPr>
      <w:sz w:val="18"/>
      <w:szCs w:val="18"/>
    </w:rPr>
  </w:style>
  <w:style w:type="paragraph" w:styleId="4">
    <w:name w:val="footer"/>
    <w:basedOn w:val="1"/>
    <w:link w:val="10"/>
    <w:unhideWhenUsed/>
    <w:uiPriority w:val="99"/>
    <w:pPr>
      <w:tabs>
        <w:tab w:val="center" w:pos="4153"/>
        <w:tab w:val="right" w:pos="8306"/>
      </w:tabs>
      <w:snapToGrid w:val="0"/>
      <w:jc w:val="left"/>
    </w:pPr>
    <w:rPr>
      <w:sz w:val="18"/>
      <w:szCs w:val="18"/>
    </w:rPr>
  </w:style>
  <w:style w:type="paragraph" w:styleId="5">
    <w:name w:val="header"/>
    <w:basedOn w:val="1"/>
    <w:link w:val="9"/>
    <w:unhideWhenUsed/>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qFormat/>
    <w:uiPriority w:val="0"/>
    <w:pPr>
      <w:spacing w:beforeAutospacing="1" w:afterAutospacing="1"/>
      <w:jc w:val="left"/>
    </w:pPr>
    <w:rPr>
      <w:rFonts w:eastAsia="Times New Roman"/>
      <w:color w:val="000000"/>
      <w:kern w:val="0"/>
      <w:sz w:val="24"/>
    </w:rPr>
  </w:style>
  <w:style w:type="character" w:customStyle="1" w:styleId="9">
    <w:name w:val="页眉 字符"/>
    <w:basedOn w:val="8"/>
    <w:link w:val="5"/>
    <w:uiPriority w:val="99"/>
    <w:rPr>
      <w:rFonts w:ascii="Times New Roman" w:hAnsi="Times New Roman" w:eastAsia="宋体" w:cs="Times New Roman"/>
      <w:sz w:val="18"/>
      <w:szCs w:val="18"/>
    </w:rPr>
  </w:style>
  <w:style w:type="character" w:customStyle="1" w:styleId="10">
    <w:name w:val="页脚 字符"/>
    <w:basedOn w:val="8"/>
    <w:link w:val="4"/>
    <w:qFormat/>
    <w:uiPriority w:val="99"/>
    <w:rPr>
      <w:rFonts w:ascii="Times New Roman" w:hAnsi="Times New Roman" w:eastAsia="宋体" w:cs="Times New Roman"/>
      <w:sz w:val="18"/>
      <w:szCs w:val="18"/>
    </w:rPr>
  </w:style>
  <w:style w:type="character" w:customStyle="1" w:styleId="11">
    <w:name w:val="日期 字符"/>
    <w:basedOn w:val="8"/>
    <w:link w:val="2"/>
    <w:semiHidden/>
    <w:uiPriority w:val="99"/>
    <w:rPr>
      <w:rFonts w:ascii="Times New Roman" w:hAnsi="Times New Roman" w:eastAsia="宋体" w:cs="Times New Roman"/>
      <w:szCs w:val="24"/>
    </w:rPr>
  </w:style>
  <w:style w:type="character" w:customStyle="1" w:styleId="12">
    <w:name w:val="批注框文本 字符"/>
    <w:basedOn w:val="8"/>
    <w:link w:val="3"/>
    <w:semiHidden/>
    <w:uiPriority w:val="99"/>
    <w:rPr>
      <w:rFonts w:ascii="Times New Roman" w:hAnsi="Times New Roman" w:eastAsia="宋体" w:cs="Times New Roman"/>
      <w:sz w:val="18"/>
      <w:szCs w:val="18"/>
    </w:rPr>
  </w:style>
  <w:style w:type="character" w:customStyle="1" w:styleId="13">
    <w:name w:val="Header or footer|2_"/>
    <w:basedOn w:val="8"/>
    <w:link w:val="14"/>
    <w:qFormat/>
    <w:uiPriority w:val="0"/>
    <w:rPr>
      <w:sz w:val="20"/>
      <w:szCs w:val="20"/>
      <w:lang w:val="zh-TW" w:eastAsia="zh-TW" w:bidi="zh-TW"/>
    </w:rPr>
  </w:style>
  <w:style w:type="paragraph" w:customStyle="1" w:styleId="14">
    <w:name w:val="Header or footer|2"/>
    <w:basedOn w:val="1"/>
    <w:link w:val="13"/>
    <w:qFormat/>
    <w:uiPriority w:val="0"/>
    <w:pPr>
      <w:jc w:val="left"/>
    </w:pPr>
    <w:rPr>
      <w:rFonts w:asciiTheme="minorHAnsi" w:hAnsiTheme="minorHAnsi" w:eastAsiaTheme="minorEastAsia" w:cstheme="minorBidi"/>
      <w:sz w:val="20"/>
      <w:szCs w:val="20"/>
      <w:lang w:val="zh-TW" w:eastAsia="zh-TW" w:bidi="zh-TW"/>
    </w:rPr>
  </w:style>
  <w:style w:type="character" w:customStyle="1" w:styleId="15">
    <w:name w:val="Body text|1_"/>
    <w:basedOn w:val="8"/>
    <w:link w:val="16"/>
    <w:uiPriority w:val="0"/>
    <w:rPr>
      <w:rFonts w:ascii="宋体" w:hAnsi="宋体" w:eastAsia="宋体" w:cs="宋体"/>
      <w:sz w:val="30"/>
      <w:szCs w:val="30"/>
      <w:lang w:val="zh-TW" w:eastAsia="zh-TW" w:bidi="zh-TW"/>
    </w:rPr>
  </w:style>
  <w:style w:type="paragraph" w:customStyle="1" w:styleId="16">
    <w:name w:val="Body text|1"/>
    <w:basedOn w:val="1"/>
    <w:link w:val="15"/>
    <w:uiPriority w:val="0"/>
    <w:pPr>
      <w:spacing w:line="406" w:lineRule="auto"/>
      <w:ind w:firstLine="400"/>
      <w:jc w:val="left"/>
    </w:pPr>
    <w:rPr>
      <w:rFonts w:ascii="宋体" w:hAnsi="宋体" w:cs="宋体"/>
      <w:sz w:val="30"/>
      <w:szCs w:val="30"/>
      <w:lang w:val="zh-TW" w:eastAsia="zh-TW" w:bidi="zh-TW"/>
    </w:rPr>
  </w:style>
  <w:style w:type="character" w:customStyle="1" w:styleId="17">
    <w:name w:val="Heading #2|1_"/>
    <w:basedOn w:val="8"/>
    <w:link w:val="18"/>
    <w:qFormat/>
    <w:uiPriority w:val="0"/>
    <w:rPr>
      <w:rFonts w:ascii="宋体" w:hAnsi="宋体" w:eastAsia="宋体" w:cs="宋体"/>
      <w:sz w:val="42"/>
      <w:szCs w:val="42"/>
      <w:lang w:val="zh-TW" w:eastAsia="zh-TW" w:bidi="zh-TW"/>
    </w:rPr>
  </w:style>
  <w:style w:type="paragraph" w:customStyle="1" w:styleId="18">
    <w:name w:val="Heading #2|1"/>
    <w:basedOn w:val="1"/>
    <w:link w:val="17"/>
    <w:qFormat/>
    <w:uiPriority w:val="0"/>
    <w:pPr>
      <w:spacing w:after="200" w:line="288" w:lineRule="auto"/>
      <w:jc w:val="center"/>
      <w:outlineLvl w:val="1"/>
    </w:pPr>
    <w:rPr>
      <w:rFonts w:ascii="宋体" w:hAnsi="宋体" w:cs="宋体"/>
      <w:sz w:val="42"/>
      <w:szCs w:val="42"/>
      <w:lang w:val="zh-TW" w:eastAsia="zh-TW" w:bidi="zh-TW"/>
    </w:rPr>
  </w:style>
  <w:style w:type="character" w:customStyle="1" w:styleId="19">
    <w:name w:val="Heading #3|1_"/>
    <w:basedOn w:val="8"/>
    <w:link w:val="20"/>
    <w:qFormat/>
    <w:uiPriority w:val="0"/>
    <w:rPr>
      <w:rFonts w:ascii="宋体" w:hAnsi="宋体" w:eastAsia="宋体" w:cs="宋体"/>
      <w:b/>
      <w:bCs/>
      <w:sz w:val="30"/>
      <w:szCs w:val="30"/>
      <w:lang w:val="zh-TW" w:eastAsia="zh-TW" w:bidi="zh-TW"/>
    </w:rPr>
  </w:style>
  <w:style w:type="paragraph" w:customStyle="1" w:styleId="20">
    <w:name w:val="Heading #3|1"/>
    <w:basedOn w:val="1"/>
    <w:link w:val="19"/>
    <w:uiPriority w:val="0"/>
    <w:pPr>
      <w:spacing w:after="280" w:line="583" w:lineRule="exact"/>
      <w:jc w:val="center"/>
      <w:outlineLvl w:val="2"/>
    </w:pPr>
    <w:rPr>
      <w:rFonts w:ascii="宋体" w:hAnsi="宋体" w:cs="宋体"/>
      <w:b/>
      <w:bCs/>
      <w:sz w:val="30"/>
      <w:szCs w:val="30"/>
      <w:lang w:val="zh-TW" w:eastAsia="zh-TW" w:bidi="zh-TW"/>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43D3CD6-325F-4C69-BC21-E998B248C246}">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541</Words>
  <Characters>3090</Characters>
  <Lines>25</Lines>
  <Paragraphs>7</Paragraphs>
  <TotalTime>2</TotalTime>
  <ScaleCrop>false</ScaleCrop>
  <LinksUpToDate>false</LinksUpToDate>
  <CharactersWithSpaces>3624</CharactersWithSpaces>
  <Application>WPS Office_11.1.0.10314_F1E327BC-269C-435d-A152-05C5408002CA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2018-09-17T02:44:00Z</dcterms:created>
  <dc:creator>Administrator</dc:creator>
  <cp:lastModifiedBy>花枝乱颤的奔跑</cp:lastModifiedBy>
  <cp:lastPrinted>2018-09-17T02:47:00Z</cp:lastPrinted>
  <dcterms:modified xsi:type="dcterms:W3CDTF">2022-06-14T03:13:08Z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8614382B5812468A90D8086DA7A2416A</vt:lpwstr>
  </property>
</Properties>
</file>